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rFonts w:cs="Times New Roman" w:ascii="Times New Roman" w:hAnsi="Times New Roman"/>
          <w:b/>
          <w:bCs/>
          <w:sz w:val="32"/>
          <w:szCs w:val="28"/>
        </w:rPr>
        <w:t xml:space="preserve">ОМК 1 капли глазные Кислота гиалуроновая и цитиколин 10мл </w:t>
      </w:r>
    </w:p>
    <w:p>
      <w:pPr>
        <w:pStyle w:val="Normal"/>
        <w:spacing w:before="0" w:after="0"/>
        <w:rPr/>
      </w:pPr>
      <w:r>
        <w:rPr>
          <w:rFonts w:cs="Times New Roman" w:ascii="Times New Roman" w:hAnsi="Times New Roman"/>
          <w:b/>
          <w:bCs/>
          <w:sz w:val="28"/>
          <w:szCs w:val="28"/>
        </w:rPr>
        <w:t>Цитиколин</w:t>
      </w:r>
      <w:r>
        <w:rPr>
          <w:rFonts w:cs="Times New Roman" w:ascii="Times New Roman" w:hAnsi="Times New Roman"/>
          <w:sz w:val="28"/>
          <w:szCs w:val="28"/>
        </w:rPr>
        <w:t xml:space="preserve"> является природным, физиологическим и основным предшественником при синтезе фосфолипидов нейрональных мембран. Обеспечивает структурное восстановление целостности поврежденных мембран нервных клеток, является фактором роста нервных волокон зрительного нерва при дегенеративных офтальмологических патологиях, таких, как глаукома, оптическая глаукоматозная нейропатия, ишемия диска зрительного нерва, а также изменений глазного дна, которые связаны с диабететом, гипертонической болезнью (ангиопатия, ангиосклероз, ретинопатия). Благодаря временной и обратной релаксации эпителиального барьера роговицы и низкой концентрации (0,01%) бензалкония хлорида - усилителя пенетрации, что стимулирует увеличение межклеточных щелей роговицы, цитиколин проникает в переднюю камеру глаза и, с помощью диффузии, через стекловидное тело и увео -склеральное пространство достигает сетчатки и диска зрительного нерва.</w:t>
        <w:br/>
      </w:r>
      <w:r>
        <w:rPr>
          <w:rFonts w:cs="Times New Roman" w:ascii="Times New Roman" w:hAnsi="Times New Roman"/>
          <w:b/>
          <w:bCs/>
          <w:sz w:val="28"/>
          <w:szCs w:val="28"/>
        </w:rPr>
        <w:t>Гиалуроновая кислота</w:t>
      </w:r>
      <w:r>
        <w:rPr>
          <w:rFonts w:cs="Times New Roman" w:ascii="Times New Roman" w:hAnsi="Times New Roman"/>
          <w:sz w:val="28"/>
          <w:szCs w:val="28"/>
        </w:rPr>
        <w:t xml:space="preserve"> является естественным высокомолекулярным биополимером, несульфированным гликозаминогликаном, что входит в состав соединительной, эпителиальной и нервной тканей в организме человека. Это один из основных компонентов внеклеточного матрикса, который содержится во многих биологических жидкостях (слюне, синовиальной жидкости, стекловидном теле и др.). Гиалуроновая кислота имеет важную роль в гидродинамике тканей, а также принимает значительное участие в пролиферации и миграции клеток, имеет проангиогенные свойства, мукоадгезивное и вязко-упругое действие, что улучшает стабильность слезной пленки и сохраняет глазную поверхность смазанной, увлажненной и защищенной, создает благоприятную микросреду для процессов реэпителизации, восстановления глазной поверхности в случаях повреждения роговицы и конъюнктивы.</w:t>
        <w:br/>
        <w:t>Гиалуроновая кислота способствует удержанию действующих компонентов препарата на поверхности глаза (слезной пленке) и удлиняет срок контакта молекулы цитиколина с структурами глаза, кроме того выступает проводником и способствует миграции цитиколина в переднюю камеру глаза и стекловидное тело.</w:t>
        <w:br/>
        <w:br/>
      </w:r>
      <w:r>
        <w:rPr>
          <w:rFonts w:cs="Times New Roman" w:ascii="Times New Roman" w:hAnsi="Times New Roman"/>
          <w:b/>
          <w:bCs/>
          <w:sz w:val="28"/>
          <w:szCs w:val="28"/>
        </w:rPr>
        <w:t>Показания:</w:t>
      </w:r>
      <w:r>
        <w:rPr>
          <w:rFonts w:cs="Times New Roman" w:ascii="Times New Roman" w:hAnsi="Times New Roman"/>
          <w:sz w:val="28"/>
          <w:szCs w:val="28"/>
        </w:rPr>
        <w:br/>
        <w:t>ОМК1, благодаря нейромедиаторному, антидегенеративному, антиоксидантному, антиангинальному, метаболическому действию и улучшению микроциркуляции рекомендуется при:</w:t>
        <w:br/>
        <w:t>- Глаукоме и оптической глаукоматозной нейропатии</w:t>
        <w:br/>
        <w:t>- Диабетической ретинопатии</w:t>
        <w:br/>
        <w:t>- Ишемической оптической нейропатии</w:t>
        <w:br/>
        <w:t>- Макулодистрофии</w:t>
        <w:br/>
        <w:t>- Дегенеративных заболеваниях роговицы</w:t>
        <w:br/>
        <w:t>- Изменениях глазного дна, связанных с гипертонической болезнью: ангиопатия, ангиосклероз, ретинопатия, и тому подобное.</w:t>
        <w:br/>
        <w:t>кератитах</w:t>
        <w:br/>
        <w:t>- Изменениях глазного дна, которые связаны с аномалиями рефракции: миопия высокой степени, гиперметропия высокой степени, и тому подобное.</w:t>
        <w:br/>
        <w:t>- Амблиопии</w:t>
        <w:br/>
        <w:t>- До и после кераторефракционных операций: фоторефракционная кератотомия, ЛАСИК и тому подобное.</w:t>
        <w:br/>
        <w:t>- Оперативных вмешательствах на переднем сегменте глаза.</w:t>
        <w:br/>
        <w:br/>
      </w:r>
      <w:r>
        <w:rPr>
          <w:rFonts w:cs="Times New Roman" w:ascii="Times New Roman" w:hAnsi="Times New Roman"/>
          <w:b/>
          <w:bCs/>
          <w:sz w:val="28"/>
          <w:szCs w:val="28"/>
        </w:rPr>
        <w:t>Способ применения:</w:t>
      </w:r>
      <w:r>
        <w:rPr>
          <w:rFonts w:cs="Times New Roman" w:ascii="Times New Roman" w:hAnsi="Times New Roman"/>
          <w:sz w:val="28"/>
          <w:szCs w:val="28"/>
        </w:rPr>
        <w:br/>
        <w:t>По 1 капле 2-3 раза в день или по указанию врача.</w:t>
        <w:br/>
        <w:t>Рекомендуемый курс лечения 2 месяца/три раза в год, или в течение 4 месяцев/дважды в год (в зависимости от степени/стадии заболевания).</w:t>
        <w:br/>
        <w:br/>
      </w:r>
      <w:r>
        <w:rPr>
          <w:rFonts w:cs="Times New Roman" w:ascii="Times New Roman" w:hAnsi="Times New Roman"/>
          <w:b/>
          <w:bCs/>
          <w:sz w:val="28"/>
          <w:szCs w:val="28"/>
        </w:rPr>
        <w:t>Побочные эффекты:</w:t>
      </w:r>
      <w:r>
        <w:rPr>
          <w:rFonts w:cs="Times New Roman" w:ascii="Times New Roman" w:hAnsi="Times New Roman"/>
          <w:sz w:val="28"/>
          <w:szCs w:val="28"/>
        </w:rPr>
        <w:br/>
        <w:t>После закапывания может наблюдаться временная нечеткость зрения. Рекомендуется подождать несколько секунд, прежде чем начинать любую деятельность, требующую четкости зрения. В случае любой нежелательной реакции следует прекратить использование раствора и проконсультироваться с врачом.</w:t>
        <w:br/>
        <w:br/>
      </w:r>
      <w:r>
        <w:rPr>
          <w:rFonts w:cs="Times New Roman" w:ascii="Times New Roman" w:hAnsi="Times New Roman"/>
          <w:b/>
          <w:bCs/>
          <w:sz w:val="28"/>
          <w:szCs w:val="28"/>
        </w:rPr>
        <w:t>Противопоказания:</w:t>
      </w:r>
      <w:r>
        <w:rPr>
          <w:rFonts w:cs="Times New Roman" w:ascii="Times New Roman" w:hAnsi="Times New Roman"/>
          <w:sz w:val="28"/>
          <w:szCs w:val="28"/>
        </w:rPr>
        <w:br/>
        <w:t>Индивидуальная повышенная чувствительность к компонентам препарата.</w:t>
        <w:br/>
        <w:br/>
      </w:r>
      <w:r>
        <w:rPr>
          <w:rFonts w:cs="Times New Roman" w:ascii="Times New Roman" w:hAnsi="Times New Roman"/>
          <w:b/>
          <w:bCs/>
          <w:sz w:val="28"/>
          <w:szCs w:val="28"/>
        </w:rPr>
        <w:t>Предостережение</w:t>
      </w:r>
      <w:r>
        <w:rPr>
          <w:rFonts w:cs="Times New Roman" w:ascii="Times New Roman" w:hAnsi="Times New Roman"/>
          <w:sz w:val="28"/>
          <w:szCs w:val="28"/>
        </w:rPr>
        <w:t>:</w:t>
        <w:br/>
        <w:t>Раствор является стерильным до открытия флакона.</w:t>
        <w:br/>
        <w:t>Чтобы предотвратить загрязнение раствора, следует плотно закрывать флакон после использования и не касаться кончиком дозатора к глазу или к другим предметам.</w:t>
        <w:br/>
        <w:t>Не использовать раствор, если флакон поврежден.</w:t>
        <w:br/>
        <w:t>После закапывания необходимо подождать 10-15 мин перед использованием других местных офтальмологических средств.</w:t>
        <w:br/>
        <w:t>Только для наружного применения в офтальмологии.</w:t>
        <w:br/>
        <w:br/>
      </w:r>
      <w:r>
        <w:rPr>
          <w:rFonts w:cs="Times New Roman" w:ascii="Times New Roman" w:hAnsi="Times New Roman"/>
          <w:b/>
          <w:bCs/>
          <w:sz w:val="28"/>
          <w:szCs w:val="28"/>
        </w:rPr>
        <w:t>Условия хранения:</w:t>
      </w:r>
      <w:r>
        <w:rPr>
          <w:rFonts w:cs="Times New Roman" w:ascii="Times New Roman" w:hAnsi="Times New Roman"/>
          <w:sz w:val="28"/>
          <w:szCs w:val="28"/>
        </w:rPr>
        <w:br/>
        <w:t>Хранить при температуре не выше 25 °C в недоступном для детей месте.</w:t>
        <w:br/>
        <w:br/>
      </w:r>
      <w:r>
        <w:rPr>
          <w:rFonts w:cs="Times New Roman" w:ascii="Times New Roman" w:hAnsi="Times New Roman"/>
          <w:b/>
          <w:bCs/>
          <w:sz w:val="28"/>
          <w:szCs w:val="28"/>
        </w:rPr>
        <w:t>Срок годности</w:t>
      </w:r>
      <w:r>
        <w:rPr>
          <w:rFonts w:cs="Times New Roman" w:ascii="Times New Roman" w:hAnsi="Times New Roman"/>
          <w:sz w:val="28"/>
          <w:szCs w:val="28"/>
        </w:rPr>
        <w:br/>
        <w:t xml:space="preserve">3 года. Не использовать через 30 дней после открытия флакона и после </w:t>
      </w:r>
      <w:bookmarkStart w:id="0" w:name="_GoBack"/>
      <w:r>
        <w:rPr>
          <w:rFonts w:cs="Times New Roman" w:ascii="Times New Roman" w:hAnsi="Times New Roman"/>
          <w:sz w:val="28"/>
          <w:szCs w:val="28"/>
        </w:rPr>
        <w:t>истечения срока годности.</w:t>
      </w:r>
      <w:bookmarkEnd w:id="0"/>
    </w:p>
    <w:sectPr>
      <w:type w:val="nextPage"/>
      <w:pgSz w:w="11906" w:h="16838"/>
      <w:pgMar w:left="1701" w:right="850" w:header="0" w:top="1134" w:footer="0" w:bottom="62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LibreOffice/6.4.5.2$Windows_X86_64 LibreOffice_project/a726b36747cf2001e06b58ad5db1aa3a9a1872d6</Application>
  <Pages>2</Pages>
  <Words>483</Words>
  <Characters>3620</Characters>
  <CharactersWithSpaces>4109</CharactersWithSpaces>
  <Paragraphs>2</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2021-11-24T08:52:00Z</dcterms:created>
  <dc:creator>RePack by Diakov</dc:creator>
  <dc:description/>
  <dc:language>ru-RU</dc:language>
  <cp:lastModifiedBy/>
  <dcterms:modified xsi:type="dcterms:W3CDTF">2021-12-02T11:33:44Z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