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280" w:after="280"/>
        <w:jc w:val="center"/>
        <w:rPr>
          <w:b/>
          <w:b/>
          <w:bCs/>
          <w:sz w:val="32"/>
          <w:szCs w:val="32"/>
        </w:rPr>
      </w:pPr>
      <w:r>
        <w:rPr>
          <w:b/>
          <w:bCs/>
          <w:sz w:val="32"/>
          <w:szCs w:val="32"/>
        </w:rPr>
        <w:t>Мультивитамины БАД таблетки для детей 1700мг упаковка №30</w:t>
      </w:r>
    </w:p>
    <w:p>
      <w:pPr>
        <w:pStyle w:val="Style14"/>
        <w:spacing w:before="280" w:after="280"/>
        <w:jc w:val="left"/>
        <w:rPr>
          <w:rFonts w:ascii="Times New Roman" w:hAnsi="Times New Roman"/>
          <w:sz w:val="28"/>
          <w:szCs w:val="28"/>
        </w:rPr>
      </w:pPr>
      <w:r>
        <w:rPr>
          <w:rFonts w:ascii="Times New Roman" w:hAnsi="Times New Roman"/>
          <w:b/>
          <w:bCs/>
          <w:sz w:val="28"/>
          <w:szCs w:val="28"/>
        </w:rPr>
        <w:t>Рекомендуется</w:t>
      </w:r>
      <w:r>
        <w:rPr>
          <w:rFonts w:ascii="Times New Roman" w:hAnsi="Times New Roman"/>
          <w:b w:val="false"/>
          <w:bCs w:val="false"/>
          <w:sz w:val="28"/>
          <w:szCs w:val="28"/>
        </w:rPr>
        <w:t xml:space="preserve"> в</w:t>
      </w:r>
      <w:r>
        <w:rPr>
          <w:rFonts w:ascii="Times New Roman" w:hAnsi="Times New Roman"/>
          <w:b w:val="false"/>
          <w:bCs w:val="false"/>
          <w:sz w:val="28"/>
          <w:szCs w:val="28"/>
        </w:rPr>
        <w:t xml:space="preserve"> качестве биологически активной добавки к пище - дополнительного источника витаминов и минералов.</w:t>
      </w:r>
    </w:p>
    <w:p>
      <w:pPr>
        <w:pStyle w:val="2"/>
        <w:rPr>
          <w:rFonts w:ascii="Times New Roman" w:hAnsi="Times New Roman"/>
          <w:sz w:val="28"/>
          <w:szCs w:val="28"/>
        </w:rPr>
      </w:pPr>
      <w:r>
        <w:rPr>
          <w:rFonts w:ascii="Times New Roman" w:hAnsi="Times New Roman"/>
          <w:sz w:val="28"/>
          <w:szCs w:val="28"/>
        </w:rPr>
        <w:t>Состав:</w:t>
      </w:r>
    </w:p>
    <w:p>
      <w:pPr>
        <w:pStyle w:val="Style14"/>
        <w:rPr>
          <w:rFonts w:ascii="Times New Roman" w:hAnsi="Times New Roman"/>
          <w:sz w:val="28"/>
          <w:szCs w:val="28"/>
        </w:rPr>
      </w:pPr>
      <w:r>
        <w:rPr>
          <w:rFonts w:ascii="Times New Roman" w:hAnsi="Times New Roman"/>
          <w:sz w:val="28"/>
          <w:szCs w:val="28"/>
        </w:rPr>
        <w:t>Моногидрат декстрозы, кальций, карнаубский воск глазирователь, ароматизатор клубники, кармин краситель, витамин С, железо, витамин E, витамин В3, цинк, марганец, витамин А, витамин В2, фолиевая кислота, витамин В1, витамин В6, витамин D, биотин, хром, витамин В12.</w:t>
      </w:r>
    </w:p>
    <w:p>
      <w:pPr>
        <w:pStyle w:val="2"/>
        <w:rPr>
          <w:rFonts w:ascii="Times New Roman" w:hAnsi="Times New Roman"/>
          <w:sz w:val="28"/>
          <w:szCs w:val="28"/>
        </w:rPr>
      </w:pPr>
      <w:r>
        <w:rPr>
          <w:rFonts w:ascii="Times New Roman" w:hAnsi="Times New Roman"/>
          <w:sz w:val="28"/>
          <w:szCs w:val="28"/>
        </w:rPr>
        <w:t>Форма выпуска:</w:t>
      </w:r>
    </w:p>
    <w:p>
      <w:pPr>
        <w:pStyle w:val="Style14"/>
        <w:rPr>
          <w:rFonts w:ascii="Times New Roman" w:hAnsi="Times New Roman"/>
          <w:sz w:val="28"/>
          <w:szCs w:val="28"/>
        </w:rPr>
      </w:pPr>
      <w:r>
        <w:rPr>
          <w:rFonts w:ascii="Times New Roman" w:hAnsi="Times New Roman"/>
          <w:sz w:val="28"/>
          <w:szCs w:val="28"/>
        </w:rPr>
        <w:t>Таблетки массой 1700 мг.</w:t>
        <w:br/>
        <w:t xml:space="preserve">1 таблетка содержит: </w:t>
        <w:br/>
        <w:t xml:space="preserve">кальций - 50 мг; </w:t>
        <w:br/>
        <w:t xml:space="preserve">витамин С - 25 мг; </w:t>
        <w:br/>
        <w:t xml:space="preserve">витамин В3 - 3 мг; </w:t>
        <w:br/>
        <w:t xml:space="preserve">цинк - 2,8 мг; </w:t>
        <w:br/>
        <w:t xml:space="preserve">железо - 2,5 мг; </w:t>
        <w:br/>
        <w:t xml:space="preserve">марганец - 1,6 мг; </w:t>
        <w:br/>
        <w:t xml:space="preserve">витамин В1 - 0,5 мг; </w:t>
        <w:br/>
        <w:t xml:space="preserve">витамин В2 - 0,5 мг; </w:t>
        <w:br/>
        <w:t xml:space="preserve">витамин В6 - 0,5 мг; </w:t>
        <w:br/>
        <w:t xml:space="preserve">фолиевая кислота - 200 мкг; </w:t>
        <w:br/>
        <w:t xml:space="preserve">биотин - 30 мкг; </w:t>
        <w:br/>
        <w:t xml:space="preserve">хром - 5 мкг; </w:t>
        <w:br/>
        <w:t xml:space="preserve">витамин В12 - 3 мкг; </w:t>
        <w:br/>
        <w:t xml:space="preserve">витамин А - 1070 МЕ; </w:t>
        <w:br/>
        <w:t xml:space="preserve">витамин D - 125 МЕ; </w:t>
        <w:br/>
        <w:t xml:space="preserve">витамин E - 5 МЕ. </w:t>
      </w:r>
    </w:p>
    <w:p>
      <w:pPr>
        <w:pStyle w:val="2"/>
        <w:rPr>
          <w:rFonts w:ascii="Times New Roman" w:hAnsi="Times New Roman"/>
          <w:sz w:val="28"/>
          <w:szCs w:val="28"/>
        </w:rPr>
      </w:pPr>
      <w:r>
        <w:rPr>
          <w:rFonts w:ascii="Times New Roman" w:hAnsi="Times New Roman"/>
          <w:sz w:val="28"/>
          <w:szCs w:val="28"/>
        </w:rPr>
        <w:t>Рекомендации по применению:</w:t>
      </w:r>
    </w:p>
    <w:p>
      <w:pPr>
        <w:pStyle w:val="Style14"/>
        <w:rPr>
          <w:rFonts w:ascii="Times New Roman" w:hAnsi="Times New Roman"/>
          <w:sz w:val="28"/>
          <w:szCs w:val="28"/>
        </w:rPr>
      </w:pPr>
      <w:r>
        <w:rPr>
          <w:rFonts w:ascii="Times New Roman" w:hAnsi="Times New Roman"/>
          <w:sz w:val="28"/>
          <w:szCs w:val="28"/>
        </w:rPr>
        <w:t>Детям с 4 лет принимать по 1 таблетке в день с приемом пищи.</w:t>
        <w:br/>
        <w:t xml:space="preserve">Перед применением рекомендуется проконсультироваться с врачом. </w:t>
        <w:br/>
        <w:t xml:space="preserve">Не является лекарственным средством. </w:t>
      </w:r>
    </w:p>
    <w:p>
      <w:pPr>
        <w:pStyle w:val="2"/>
        <w:rPr>
          <w:rFonts w:ascii="Times New Roman" w:hAnsi="Times New Roman"/>
          <w:sz w:val="28"/>
          <w:szCs w:val="28"/>
        </w:rPr>
      </w:pPr>
      <w:r>
        <w:rPr>
          <w:rFonts w:ascii="Times New Roman" w:hAnsi="Times New Roman"/>
          <w:sz w:val="28"/>
          <w:szCs w:val="28"/>
        </w:rPr>
        <w:t>Противопоказания:</w:t>
      </w:r>
    </w:p>
    <w:p>
      <w:pPr>
        <w:pStyle w:val="Style14"/>
        <w:rPr>
          <w:rFonts w:ascii="Times New Roman" w:hAnsi="Times New Roman"/>
          <w:sz w:val="28"/>
          <w:szCs w:val="28"/>
        </w:rPr>
      </w:pPr>
      <w:r>
        <w:rPr>
          <w:rFonts w:ascii="Times New Roman" w:hAnsi="Times New Roman"/>
          <w:sz w:val="28"/>
          <w:szCs w:val="28"/>
        </w:rPr>
        <w:t xml:space="preserve">Индивидуальная непереносимость компонентов продукта. </w:t>
      </w:r>
    </w:p>
    <w:p>
      <w:pPr>
        <w:pStyle w:val="1"/>
        <w:spacing w:before="280" w:after="280"/>
        <w:jc w:val="left"/>
        <w:rPr>
          <w:b w:val="false"/>
          <w:b w:val="false"/>
          <w:bCs w:val="false"/>
        </w:rPr>
      </w:pPr>
      <w:r>
        <w:rPr>
          <w:rFonts w:ascii="Times New Roman" w:hAnsi="Times New Roman"/>
          <w:sz w:val="28"/>
          <w:szCs w:val="28"/>
        </w:rPr>
      </w:r>
    </w:p>
    <w:p>
      <w:pPr>
        <w:pStyle w:val="Normal"/>
        <w:numPr>
          <w:ilvl w:val="0"/>
          <w:numId w:val="0"/>
        </w:numPr>
        <w:spacing w:lineRule="auto" w:line="240" w:beforeAutospacing="1" w:afterAutospacing="1"/>
        <w:ind w:left="0" w:hanging="0"/>
        <w:jc w:val="left"/>
        <w:rPr>
          <w:rFonts w:ascii="Times New Roman" w:hAnsi="Times New Roman"/>
          <w:sz w:val="28"/>
          <w:szCs w:val="28"/>
        </w:rPr>
      </w:pPr>
      <w:r>
        <w:rPr>
          <w:rFonts w:ascii="Times New Roman" w:hAnsi="Times New Roman"/>
          <w:sz w:val="28"/>
          <w:szCs w:val="28"/>
        </w:rPr>
      </w:r>
    </w:p>
    <w:sectPr>
      <w:type w:val="nextPage"/>
      <w:pgSz w:w="11906" w:h="16838"/>
      <w:pgMar w:left="1701" w:right="850"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0f77b7"/>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Style13"/>
    <w:next w:val="Style14"/>
    <w:qFormat/>
    <w:pPr>
      <w:spacing w:before="200" w:after="120"/>
      <w:outlineLvl w:val="1"/>
    </w:pPr>
    <w:rPr>
      <w:rFonts w:ascii="Liberation Serif" w:hAnsi="Liberation Serif" w:eastAsia="Segoe UI" w:cs="Tahoma"/>
      <w:b/>
      <w:bCs/>
      <w:sz w:val="36"/>
      <w:szCs w:val="36"/>
    </w:rPr>
  </w:style>
  <w:style w:type="paragraph" w:styleId="3">
    <w:name w:val="Heading 3"/>
    <w:basedOn w:val="Style13"/>
    <w:next w:val="Style14"/>
    <w:qFormat/>
    <w:pPr>
      <w:spacing w:before="140" w:after="120"/>
      <w:outlineLvl w:val="2"/>
    </w:pPr>
    <w:rPr>
      <w:rFonts w:ascii="Liberation Serif" w:hAnsi="Liberation Serif" w:eastAsia="Segoe UI" w:cs="Tahoma"/>
      <w:b/>
      <w:bCs/>
      <w:sz w:val="28"/>
      <w:szCs w:val="28"/>
    </w:rPr>
  </w:style>
  <w:style w:type="paragraph" w:styleId="6">
    <w:name w:val="Heading 6"/>
    <w:basedOn w:val="Style13"/>
    <w:next w:val="Style14"/>
    <w:qFormat/>
    <w:pPr>
      <w:spacing w:before="60" w:after="60"/>
      <w:outlineLvl w:val="5"/>
    </w:pPr>
    <w:rPr>
      <w:rFonts w:ascii="Liberation Serif" w:hAnsi="Liberation Serif" w:eastAsia="Segoe UI" w:cs="Tahoma"/>
      <w:b/>
      <w:bCs/>
      <w:sz w:val="14"/>
      <w:szCs w:val="1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0f77b7"/>
    <w:rPr>
      <w:rFonts w:ascii="Times New Roman" w:hAnsi="Times New Roman" w:eastAsia="Times New Roman" w:cs="Times New Roman"/>
      <w:b/>
      <w:bCs/>
      <w:kern w:val="2"/>
      <w:sz w:val="48"/>
      <w:szCs w:val="48"/>
      <w:lang w:eastAsia="ru-RU"/>
    </w:rPr>
  </w:style>
  <w:style w:type="character" w:styleId="Style10">
    <w:name w:val="Интернет-ссылка"/>
    <w:rPr>
      <w:color w:val="000080"/>
      <w:u w:val="single"/>
      <w:lang w:val="zxx" w:eastAsia="zxx" w:bidi="zxx"/>
    </w:rPr>
  </w:style>
  <w:style w:type="character" w:styleId="Style11">
    <w:name w:val="Маркеры"/>
    <w:qFormat/>
    <w:rPr>
      <w:rFonts w:ascii="OpenSymbol" w:hAnsi="OpenSymbol" w:eastAsia="OpenSymbol" w:cs="OpenSymbol"/>
    </w:rPr>
  </w:style>
  <w:style w:type="character" w:styleId="Style12">
    <w:name w:val="Выделение жирным"/>
    <w:qFormat/>
    <w:rPr>
      <w:b/>
      <w:bCs/>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lang w:val="zxx" w:eastAsia="zxx" w:bidi="zxx"/>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paragraph" w:styleId="Style20">
    <w:name w:val="Обычный (веб)"/>
    <w:basedOn w:val="Normal"/>
    <w:qFormat/>
    <w:pPr>
      <w:spacing w:lineRule="auto" w:line="240" w:before="280" w:after="280"/>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Application>LibreOffice/7.3.5.2$Windows_X86_64 LibreOffice_project/184fe81b8c8c30d8b5082578aee2fed2ea847c01</Application>
  <AppVersion>15.0000</AppVersion>
  <Pages>2</Pages>
  <Words>172</Words>
  <Characters>901</Characters>
  <CharactersWithSpaces>1083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spr3</dc:creator>
  <dc:description/>
  <dc:language>ru-RU</dc:language>
  <cp:lastModifiedBy/>
  <dcterms:modified xsi:type="dcterms:W3CDTF">2026-02-12T09:18:05Z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