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Черника форте с лютеином таблетки БАД 250мг упаковка №50</w:t>
      </w:r>
    </w:p>
    <w:p>
      <w:pPr>
        <w:pStyle w:val="Style13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Рекомендуется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в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качестве биологически активной добавки к пище - дополнительного источника витаминов С, В1, В2, В6, рутина, цинка, содержащей антоцианы и лютеин.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Целлюлоза микрокристаллическая (носитель), аскорбиновая кислота, компоненты пленочного покрытия (пищевые добавки): гидроксипропилметилцеллюлоза (загуститель), карбонат кальция (краситель), твин 80 (эмульгатор), полиэтиленгликоль (глазирователь), кармин и оксид железа (красители); цинка окись, стеарат кальция (агент антислеживающий), диоксид кремния аморфный (агент антислеживающий); рутин, лютеин (экстракт бархатцев), экстракт черники, пиридоксина гидрохлорид, тиамина гидрохлорид, рибофлавин.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выпуска: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Таблетки покрытые оболочкой массой 0,25 г.</w:t>
        <w:br/>
        <w:br/>
        <w:t xml:space="preserve">1 таблетка содержит: </w:t>
        <w:br/>
        <w:t xml:space="preserve">витамин С - 17,5 мг; </w:t>
        <w:br/>
        <w:t xml:space="preserve">цинк - 3,75 мг; </w:t>
        <w:br/>
        <w:t xml:space="preserve">витамин Р (рутин) - 2,5 мг; </w:t>
        <w:br/>
        <w:t xml:space="preserve">лютеин (из бархатцев) - 0,125 мг; </w:t>
        <w:br/>
        <w:t xml:space="preserve">антоцианы (из черники) - 0,5 мг; </w:t>
        <w:br/>
        <w:t xml:space="preserve">витамин В6 (пиридоксин) - 0,5 мг; </w:t>
        <w:br/>
        <w:t xml:space="preserve">витамин В2 (рибофлавин) - 0,45 мг; </w:t>
        <w:br/>
        <w:t xml:space="preserve">витамин В1 (тиамин) - 0,375 мг. </w:t>
      </w:r>
    </w:p>
    <w:p>
      <w:pPr>
        <w:pStyle w:val="Style13"/>
        <w:spacing w:lineRule="auto" w:line="240"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9"/>
          <w:sz w:val="22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Не превышает верхний допустимый уровень суточного потребления. </w:t>
        <w:br/>
      </w:r>
      <w:r>
        <w:rPr>
          <w:rFonts w:ascii="Times New Roman" w:hAnsi="Times New Roman"/>
          <w:position w:val="9"/>
          <w:sz w:val="22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Рекомендуемая суточная норма для детей не установлена. 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/>
      </w:r>
    </w:p>
    <w:tbl>
      <w:tblPr>
        <w:tblW w:w="9301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1245"/>
        <w:gridCol w:w="1320"/>
        <w:gridCol w:w="1080"/>
        <w:gridCol w:w="885"/>
        <w:gridCol w:w="1170"/>
        <w:gridCol w:w="721"/>
      </w:tblGrid>
      <w:tr>
        <w:trPr/>
        <w:tc>
          <w:tcPr>
            <w:tcW w:w="9301" w:type="dxa"/>
            <w:gridSpan w:val="7"/>
            <w:tcBorders/>
            <w:vAlign w:val="center"/>
          </w:tcPr>
          <w:p>
            <w:pPr>
              <w:pStyle w:val="Style17"/>
              <w:spacing w:before="0" w:after="1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Содержание в суточном приеме и % от рекомендуемого уровня суточного потребления (адекватного уровня)</w:t>
            </w:r>
          </w:p>
        </w:tc>
      </w:tr>
      <w:tr>
        <w:trPr/>
        <w:tc>
          <w:tcPr>
            <w:tcW w:w="2880" w:type="dxa"/>
            <w:tcBorders/>
            <w:vAlign w:val="center"/>
          </w:tcPr>
          <w:p>
            <w:pPr>
              <w:pStyle w:val="Style17"/>
              <w:spacing w:before="0" w:after="1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Наименование компонента </w:t>
            </w:r>
          </w:p>
        </w:tc>
        <w:tc>
          <w:tcPr>
            <w:tcW w:w="2565" w:type="dxa"/>
            <w:gridSpan w:val="2"/>
            <w:tcBorders/>
            <w:vAlign w:val="center"/>
          </w:tcPr>
          <w:p>
            <w:pPr>
              <w:pStyle w:val="Style17"/>
              <w:spacing w:before="0" w:after="1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 4 таблетках для взрослых и детей старше 14 лет</w:t>
            </w:r>
          </w:p>
        </w:tc>
        <w:tc>
          <w:tcPr>
            <w:tcW w:w="1965" w:type="dxa"/>
            <w:gridSpan w:val="2"/>
            <w:tcBorders/>
            <w:vAlign w:val="center"/>
          </w:tcPr>
          <w:p>
            <w:pPr>
              <w:pStyle w:val="Style17"/>
              <w:spacing w:before="0" w:after="1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 3 таблетках для детей 7-14 лет</w:t>
            </w:r>
          </w:p>
        </w:tc>
        <w:tc>
          <w:tcPr>
            <w:tcW w:w="1891" w:type="dxa"/>
            <w:gridSpan w:val="2"/>
            <w:tcBorders/>
            <w:vAlign w:val="center"/>
          </w:tcPr>
          <w:p>
            <w:pPr>
              <w:pStyle w:val="Style17"/>
              <w:spacing w:before="0" w:after="1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 2 таблетках для детей 3-7 лет</w:t>
            </w:r>
          </w:p>
        </w:tc>
      </w:tr>
      <w:tr>
        <w:trPr/>
        <w:tc>
          <w:tcPr>
            <w:tcW w:w="2880" w:type="dxa"/>
            <w:tcBorders/>
            <w:vAlign w:val="center"/>
          </w:tcPr>
          <w:p>
            <w:pPr>
              <w:pStyle w:val="Style17"/>
              <w:spacing w:before="0" w:after="160"/>
              <w:rPr/>
            </w:pPr>
            <w:hyperlink r:id="rId2" w:tgtFrame="_blank">
              <w:r>
                <w:rPr>
                  <w:color w:val="000000"/>
                  <w:sz w:val="28"/>
                  <w:szCs w:val="28"/>
                </w:rPr>
                <w:t>Витамин C</w:t>
              </w:r>
            </w:hyperlink>
            <w:r>
              <w:rPr>
                <w:color w:val="000000"/>
                <w:sz w:val="28"/>
                <w:szCs w:val="28"/>
              </w:rPr>
              <w:t xml:space="preserve">, не менее 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70 мг 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117%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52,5 мг 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87,5% 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35 мг </w:t>
            </w:r>
          </w:p>
        </w:tc>
        <w:tc>
          <w:tcPr>
            <w:tcW w:w="721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70% </w:t>
            </w:r>
          </w:p>
        </w:tc>
      </w:tr>
      <w:tr>
        <w:trPr/>
        <w:tc>
          <w:tcPr>
            <w:tcW w:w="2880" w:type="dxa"/>
            <w:tcBorders/>
            <w:vAlign w:val="center"/>
          </w:tcPr>
          <w:p>
            <w:pPr>
              <w:pStyle w:val="Style17"/>
              <w:spacing w:before="0" w:after="160"/>
              <w:rPr/>
            </w:pPr>
            <w:hyperlink r:id="rId3" w:tgtFrame="_blank">
              <w:r>
                <w:rPr>
                  <w:color w:val="000000"/>
                  <w:sz w:val="28"/>
                  <w:szCs w:val="28"/>
                </w:rPr>
                <w:t>Цинк</w:t>
              </w:r>
            </w:hyperlink>
            <w:r>
              <w:rPr>
                <w:color w:val="000000"/>
                <w:sz w:val="28"/>
                <w:szCs w:val="28"/>
              </w:rPr>
              <w:t xml:space="preserve">, не менее 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мг 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100% 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мг 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100% 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7,5 мг </w:t>
            </w:r>
          </w:p>
        </w:tc>
        <w:tc>
          <w:tcPr>
            <w:tcW w:w="721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94% </w:t>
            </w:r>
          </w:p>
        </w:tc>
      </w:tr>
      <w:tr>
        <w:trPr/>
        <w:tc>
          <w:tcPr>
            <w:tcW w:w="2880" w:type="dxa"/>
            <w:tcBorders/>
            <w:vAlign w:val="center"/>
          </w:tcPr>
          <w:p>
            <w:pPr>
              <w:pStyle w:val="Style17"/>
              <w:spacing w:before="0" w:after="160"/>
              <w:rPr/>
            </w:pPr>
            <w:hyperlink r:id="rId4" w:tgtFrame="_blank">
              <w:r>
                <w:rPr>
                  <w:color w:val="000000"/>
                  <w:sz w:val="28"/>
                  <w:szCs w:val="28"/>
                </w:rPr>
                <w:t>Витамин P (рутин)</w:t>
              </w:r>
            </w:hyperlink>
            <w:r>
              <w:rPr>
                <w:color w:val="000000"/>
                <w:sz w:val="28"/>
                <w:szCs w:val="28"/>
              </w:rPr>
              <w:t xml:space="preserve">, не менее 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мг 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33% 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7,5 мг 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— 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мг </w:t>
            </w:r>
          </w:p>
        </w:tc>
        <w:tc>
          <w:tcPr>
            <w:tcW w:w="721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— 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2880" w:type="dxa"/>
            <w:tcBorders/>
            <w:vAlign w:val="center"/>
          </w:tcPr>
          <w:p>
            <w:pPr>
              <w:pStyle w:val="Style17"/>
              <w:spacing w:before="0" w:after="160"/>
              <w:rPr/>
            </w:pPr>
            <w:hyperlink r:id="rId5" w:tgtFrame="_blank">
              <w:r>
                <w:rPr>
                  <w:color w:val="000000"/>
                  <w:sz w:val="28"/>
                  <w:szCs w:val="28"/>
                </w:rPr>
                <w:t>Лютеин</w:t>
              </w:r>
            </w:hyperlink>
            <w:r>
              <w:rPr>
                <w:color w:val="000000"/>
                <w:sz w:val="28"/>
                <w:szCs w:val="28"/>
              </w:rPr>
              <w:t xml:space="preserve"> (из бархатцев), не менее 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0,5 мг 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10% 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0,375 мг 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— 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0,25 мг </w:t>
            </w:r>
          </w:p>
        </w:tc>
        <w:tc>
          <w:tcPr>
            <w:tcW w:w="721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— 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2880" w:type="dxa"/>
            <w:tcBorders/>
            <w:vAlign w:val="center"/>
          </w:tcPr>
          <w:p>
            <w:pPr>
              <w:pStyle w:val="Style17"/>
              <w:spacing w:before="0" w:after="160"/>
              <w:rPr/>
            </w:pPr>
            <w:r>
              <w:rPr>
                <w:color w:val="000000"/>
                <w:sz w:val="28"/>
                <w:szCs w:val="28"/>
              </w:rPr>
              <w:t xml:space="preserve">Антоцианы (из </w:t>
            </w:r>
            <w:hyperlink r:id="rId6">
              <w:r>
                <w:rPr>
                  <w:color w:val="000000"/>
                  <w:sz w:val="28"/>
                  <w:szCs w:val="28"/>
                </w:rPr>
                <w:t>черники</w:t>
              </w:r>
            </w:hyperlink>
            <w:r>
              <w:rPr>
                <w:color w:val="000000"/>
                <w:sz w:val="28"/>
                <w:szCs w:val="28"/>
              </w:rPr>
              <w:t xml:space="preserve">), не менее 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мг 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4% 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 мг 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— 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мг </w:t>
            </w:r>
          </w:p>
        </w:tc>
        <w:tc>
          <w:tcPr>
            <w:tcW w:w="721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— 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2880" w:type="dxa"/>
            <w:tcBorders/>
            <w:vAlign w:val="center"/>
          </w:tcPr>
          <w:p>
            <w:pPr>
              <w:pStyle w:val="Style17"/>
              <w:spacing w:before="0" w:after="160"/>
              <w:rPr/>
            </w:pPr>
            <w:hyperlink r:id="rId7" w:tgtFrame="_blank">
              <w:r>
                <w:rPr>
                  <w:color w:val="000000"/>
                  <w:sz w:val="28"/>
                  <w:szCs w:val="28"/>
                </w:rPr>
                <w:t>Витамин B</w:t>
              </w:r>
            </w:hyperlink>
            <w:hyperlink r:id="rId8" w:tgtFrame="_blank">
              <w:r>
                <w:rPr>
                  <w:color w:val="000000"/>
                  <w:position w:val="-2"/>
                  <w:sz w:val="22"/>
                  <w:sz w:val="28"/>
                  <w:szCs w:val="28"/>
                </w:rPr>
                <w:t>6</w:t>
              </w:r>
            </w:hyperlink>
            <w:r>
              <w:rPr>
                <w:color w:val="000000"/>
                <w:sz w:val="28"/>
                <w:szCs w:val="28"/>
              </w:rPr>
              <w:t xml:space="preserve">(пиридоксин), не менее 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мг 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100% 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 мг 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100% 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мг </w:t>
            </w:r>
          </w:p>
        </w:tc>
        <w:tc>
          <w:tcPr>
            <w:tcW w:w="721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83% </w:t>
            </w:r>
          </w:p>
        </w:tc>
      </w:tr>
      <w:tr>
        <w:trPr/>
        <w:tc>
          <w:tcPr>
            <w:tcW w:w="2880" w:type="dxa"/>
            <w:tcBorders/>
            <w:vAlign w:val="center"/>
          </w:tcPr>
          <w:p>
            <w:pPr>
              <w:pStyle w:val="Style17"/>
              <w:spacing w:before="0" w:after="160"/>
              <w:rPr/>
            </w:pPr>
            <w:hyperlink r:id="rId9" w:tgtFrame="_blank">
              <w:r>
                <w:rPr>
                  <w:color w:val="000000"/>
                  <w:sz w:val="28"/>
                  <w:szCs w:val="28"/>
                </w:rPr>
                <w:t>Витамин B</w:t>
              </w:r>
            </w:hyperlink>
            <w:hyperlink r:id="rId10" w:tgtFrame="_blank">
              <w:r>
                <w:rPr>
                  <w:color w:val="000000"/>
                  <w:position w:val="-2"/>
                  <w:sz w:val="22"/>
                  <w:sz w:val="28"/>
                  <w:szCs w:val="28"/>
                </w:rPr>
                <w:t>2</w:t>
              </w:r>
            </w:hyperlink>
            <w:r>
              <w:rPr>
                <w:color w:val="000000"/>
                <w:sz w:val="28"/>
                <w:szCs w:val="28"/>
              </w:rPr>
              <w:t xml:space="preserve"> (рибофлавин), не менее 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1,8 мг 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113%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1,35 мг 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113%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 мг </w:t>
            </w:r>
          </w:p>
        </w:tc>
        <w:tc>
          <w:tcPr>
            <w:tcW w:w="721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90% </w:t>
            </w:r>
          </w:p>
        </w:tc>
      </w:tr>
      <w:tr>
        <w:trPr/>
        <w:tc>
          <w:tcPr>
            <w:tcW w:w="2880" w:type="dxa"/>
            <w:tcBorders/>
            <w:vAlign w:val="center"/>
          </w:tcPr>
          <w:p>
            <w:pPr>
              <w:pStyle w:val="Style17"/>
              <w:spacing w:before="0" w:after="160"/>
              <w:rPr/>
            </w:pPr>
            <w:hyperlink r:id="rId11" w:tgtFrame="_blank">
              <w:r>
                <w:rPr>
                  <w:color w:val="000000"/>
                  <w:sz w:val="28"/>
                  <w:szCs w:val="28"/>
                </w:rPr>
                <w:t>Витамин B</w:t>
              </w:r>
            </w:hyperlink>
            <w:hyperlink r:id="rId12" w:tgtFrame="_blank">
              <w:r>
                <w:rPr>
                  <w:color w:val="000000"/>
                  <w:position w:val="-2"/>
                  <w:sz w:val="22"/>
                  <w:sz w:val="28"/>
                  <w:szCs w:val="28"/>
                </w:rPr>
                <w:t>1</w:t>
              </w:r>
            </w:hyperlink>
            <w:r>
              <w:rPr>
                <w:color w:val="000000"/>
                <w:sz w:val="28"/>
                <w:szCs w:val="28"/>
              </w:rPr>
              <w:t xml:space="preserve"> (тиамин), не менее 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 мг </w:t>
            </w:r>
          </w:p>
        </w:tc>
        <w:tc>
          <w:tcPr>
            <w:tcW w:w="132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107%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1,13 мг </w:t>
            </w:r>
          </w:p>
        </w:tc>
        <w:tc>
          <w:tcPr>
            <w:tcW w:w="885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102%</w:t>
            </w:r>
            <w:r>
              <w:rPr>
                <w:color w:val="000000"/>
                <w:position w:val="9"/>
                <w:sz w:val="22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0,75 мг </w:t>
            </w:r>
          </w:p>
        </w:tc>
        <w:tc>
          <w:tcPr>
            <w:tcW w:w="721" w:type="dxa"/>
            <w:tcBorders/>
            <w:vAlign w:val="center"/>
          </w:tcPr>
          <w:p>
            <w:pPr>
              <w:pStyle w:val="Style17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83% </w:t>
            </w:r>
          </w:p>
        </w:tc>
      </w:tr>
    </w:tbl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Рекомендации по применению: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и детям старше 14 лет принимать по 2 таблетки 2 раза в день во время еды, детям от 7 до 14 лет – по 3 таблетки в день, детям от 3 до 7 лет – по 1 таблетке 2 раза в день. Продолжительность приема – 2-4 месяца. Допускается десятидневный перерыв.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spacing w:lineRule="auto" w:line="240" w:before="40" w:after="283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Противопоказания: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 продукта. </w:t>
      </w:r>
    </w:p>
    <w:p>
      <w:pPr>
        <w:pStyle w:val="Style13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хранения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Хранить при температуре не выше 25° С.</w:t>
      </w:r>
    </w:p>
    <w:p>
      <w:pPr>
        <w:pStyle w:val="Style13"/>
        <w:spacing w:lineRule="auto" w:line="240"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1731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91731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1731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9173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731f"/>
    <w:rPr>
      <w:b/>
      <w:bCs/>
    </w:rPr>
  </w:style>
  <w:style w:type="character" w:styleId="WW8Num9z0">
    <w:name w:val="WW8Num9z0"/>
    <w:qFormat/>
    <w:rPr>
      <w:rFonts w:ascii="Symbol" w:hAnsi="Symbol" w:eastAsia="Times New Roman" w:cs="Symbol"/>
      <w:sz w:val="20"/>
      <w:szCs w:val="24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173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hop.evalar.ru/encyclopedia/item/vitamin-c/" TargetMode="External"/><Relationship Id="rId3" Type="http://schemas.openxmlformats.org/officeDocument/2006/relationships/hyperlink" Target="https://shop.evalar.ru/encyclopedia/item/tsink/" TargetMode="External"/><Relationship Id="rId4" Type="http://schemas.openxmlformats.org/officeDocument/2006/relationships/hyperlink" Target="https://shop.evalar.ru/encyclopedia/item/rutin-vitamin-r/" TargetMode="External"/><Relationship Id="rId5" Type="http://schemas.openxmlformats.org/officeDocument/2006/relationships/hyperlink" Target="https://shop.evalar.ru/encyclopedia/item/lyutein/" TargetMode="External"/><Relationship Id="rId6" Type="http://schemas.openxmlformats.org/officeDocument/2006/relationships/hyperlink" Target="https://shop.evalar.ru/encyclopedia/item/chernika/" TargetMode="External"/><Relationship Id="rId7" Type="http://schemas.openxmlformats.org/officeDocument/2006/relationships/hyperlink" Target="https://shop.evalar.ru/encyclopedia/item/vitamin-v6-piridoksin/" TargetMode="External"/><Relationship Id="rId8" Type="http://schemas.openxmlformats.org/officeDocument/2006/relationships/hyperlink" Target="https://shop.evalar.ru/encyclopedia/item/vitamin-v6-piridoksin/" TargetMode="External"/><Relationship Id="rId9" Type="http://schemas.openxmlformats.org/officeDocument/2006/relationships/hyperlink" Target="https://shop.evalar.ru/encyclopedia/item/vitamin-b-riboflavin/" TargetMode="External"/><Relationship Id="rId10" Type="http://schemas.openxmlformats.org/officeDocument/2006/relationships/hyperlink" Target="https://shop.evalar.ru/encyclopedia/item/vitamin-b-riboflavin/" TargetMode="External"/><Relationship Id="rId11" Type="http://schemas.openxmlformats.org/officeDocument/2006/relationships/hyperlink" Target="https://shop.evalar.ru/encyclopedia/item/vitamin-b1-tiamin/" TargetMode="External"/><Relationship Id="rId12" Type="http://schemas.openxmlformats.org/officeDocument/2006/relationships/hyperlink" Target="https://shop.evalar.ru/encyclopedia/item/vitamin-b1-tiamin/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LibreOffice/7.3.5.2$Windows_X86_64 LibreOffice_project/184fe81b8c8c30d8b5082578aee2fed2ea847c01</Application>
  <AppVersion>15.0000</AppVersion>
  <Pages>2</Pages>
  <Words>373</Words>
  <Characters>2018</Characters>
  <CharactersWithSpaces>2390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2023-04-20T06:03:00Z</dcterms:created>
  <dc:creator>spr3</dc:creator>
  <dc:description/>
  <dc:language>ru-RU</dc:language>
  <cp:lastModifiedBy/>
  <dcterms:modified xsi:type="dcterms:W3CDTF">2026-05-28T08:19:51Z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