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Остео Гард Форте(источник кальция и вит.D3) таблетки БАД 1770мг №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6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0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в качестве биологически активной добавки к пище – является дополнительным источником кальция и витамина D3.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Кальций, карнаубский воск глазирователь, целлюлоза носитель, кроскарамелоза натрия носитель, гидроксипропилметилцеллюлоза стабилизатор, диоксид титана краситель, витамин D3, магния стеарат эмульгатор.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3118"/>
        <w:gridCol w:w="3126"/>
      </w:tblGrid>
      <w:tr>
        <w:trPr/>
        <w:tc>
          <w:tcPr>
            <w:tcW w:w="3116" w:type="dxa"/>
            <w:tcBorders/>
          </w:tcPr>
          <w:p>
            <w:pPr>
              <w:pStyle w:val="Style15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false"/>
                <w:sz w:val="28"/>
                <w:szCs w:val="28"/>
                <w:lang w:val="ru-RU"/>
              </w:rPr>
              <w:t>1 таблетка содержит: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tcBorders/>
          </w:tcPr>
          <w:p>
            <w:pPr>
              <w:pStyle w:val="Style15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u w:val="none"/>
                <w:lang w:val="ru-RU"/>
              </w:rPr>
              <w:t>кальций 600 мг</w:t>
            </w:r>
          </w:p>
        </w:tc>
        <w:tc>
          <w:tcPr>
            <w:tcW w:w="3126" w:type="dxa"/>
            <w:tcBorders/>
          </w:tcPr>
          <w:p>
            <w:pPr>
              <w:pStyle w:val="Style15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u w:val="none"/>
                <w:lang w:val="ru-RU"/>
              </w:rPr>
              <w:t>витамин D3 400 ME</w:t>
            </w:r>
          </w:p>
        </w:tc>
      </w:tr>
      <w:tr>
        <w:trPr>
          <w:trHeight w:val="511" w:hRule="atLeast"/>
        </w:trPr>
        <w:tc>
          <w:tcPr>
            <w:tcW w:w="3116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*НФП(6лет)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67%</w:t>
            </w:r>
          </w:p>
        </w:tc>
        <w:tc>
          <w:tcPr>
            <w:tcW w:w="3126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100%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*НФП(7-10лет)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54%</w:t>
            </w:r>
          </w:p>
        </w:tc>
        <w:tc>
          <w:tcPr>
            <w:tcW w:w="3126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100%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*НФП(11-17лет)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50%</w:t>
            </w:r>
          </w:p>
        </w:tc>
        <w:tc>
          <w:tcPr>
            <w:tcW w:w="3126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100%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Style23"/>
              <w:widowControl w:val="false"/>
              <w:suppressLineNumbers/>
              <w:spacing w:before="0" w:after="160"/>
              <w:rPr/>
            </w:pPr>
            <w:r>
              <w:rPr/>
              <w:t>**РУСП(взрослые)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60%</w:t>
            </w:r>
          </w:p>
        </w:tc>
        <w:tc>
          <w:tcPr>
            <w:tcW w:w="3126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200%</w:t>
            </w:r>
          </w:p>
        </w:tc>
      </w:tr>
    </w:tbl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 xml:space="preserve">*% от нормы физиологической потребности </w:t>
        <w:br/>
        <w:t xml:space="preserve">**% от рекомендуемого уровня суточного потребления.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Пищевая ценность на 100г продукта: белки-1,53; жиры-0,2; углеводы-6,79. Энергетическая ценность на 100 г 39,8 ккал 167кДж.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 xml:space="preserve">детям с 6 лет и взрослым принимать по 1 таблетке в день с приемом пищи. 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Индивидуальная непереносимость компонентов, беременность, кормление грудью.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Условия хранения: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 xml:space="preserve">Хранить в сухом, недоступном для детей месте, при температуре не выше 25°С. </w:t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Application>LibreOffice/7.3.5.2$Windows_X86_64 LibreOffice_project/184fe81b8c8c30d8b5082578aee2fed2ea847c01</Application>
  <AppVersion>15.0000</AppVersion>
  <Pages>1</Pages>
  <Words>133</Words>
  <Characters>915</Characters>
  <CharactersWithSpaces>1040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2026-06-25T14:16:17Z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