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numPr>
          <w:ilvl w:val="0"/>
          <w:numId w:val="0"/>
        </w:numPr>
        <w:spacing w:lineRule="auto" w:line="240" w:beforeAutospacing="1" w:afterAutospacing="1"/>
        <w:ind w:left="0" w:hanging="0"/>
        <w:jc w:val="center"/>
        <w:rPr>
          <w:rFonts w:ascii="Times New Roman" w:hAnsi="Times New Roman" w:eastAsia="Times New Roman" w:cs="Times New Roman"/>
          <w:b/>
          <w:b/>
          <w:bCs/>
          <w:kern w:val="2"/>
          <w:sz w:val="32"/>
          <w:szCs w:val="32"/>
          <w:lang w:eastAsia="ru-RU"/>
        </w:rPr>
      </w:pPr>
      <w:r>
        <w:rPr>
          <w:rFonts w:eastAsia="Times New Roman" w:cs="Times New Roman"/>
          <w:b/>
          <w:bCs/>
          <w:kern w:val="2"/>
          <w:sz w:val="32"/>
          <w:szCs w:val="32"/>
          <w:lang w:eastAsia="ru-RU"/>
        </w:rPr>
        <w:t>ВИТУС здоровые глаза БАД таблетки быстрораств. 4г упаковка №20</w:t>
      </w:r>
    </w:p>
    <w:p>
      <w:pPr>
        <w:pStyle w:val="Style12"/>
        <w:spacing w:lineRule="auto" w:line="240" w:before="140" w:after="1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Рекомендунтся </w:t>
      </w:r>
      <w:r>
        <w:rPr>
          <w:rFonts w:ascii="Times New Roman" w:hAnsi="Times New Roman"/>
          <w:sz w:val="28"/>
          <w:szCs w:val="28"/>
        </w:rPr>
        <w:t xml:space="preserve">в качестве биологически активной добавки к пище </w:t>
      </w:r>
      <w:r>
        <w:rPr>
          <w:rFonts w:ascii="Times New Roman" w:hAnsi="Times New Roman"/>
          <w:sz w:val="28"/>
          <w:szCs w:val="28"/>
        </w:rPr>
        <w:t>дополнительн</w:t>
      </w:r>
      <w:r>
        <w:rPr>
          <w:rFonts w:ascii="Times New Roman" w:hAnsi="Times New Roman"/>
          <w:sz w:val="28"/>
          <w:szCs w:val="28"/>
        </w:rPr>
        <w:t xml:space="preserve">ого </w:t>
      </w:r>
      <w:r>
        <w:rPr>
          <w:rFonts w:ascii="Times New Roman" w:hAnsi="Times New Roman"/>
          <w:sz w:val="28"/>
          <w:szCs w:val="28"/>
        </w:rPr>
        <w:t>источник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10 витаминов, цинка, селена, каротиноидов натурального происхождения — лютеина и зеаксантина, бета-каротина.</w:t>
      </w:r>
    </w:p>
    <w:p>
      <w:pPr>
        <w:pStyle w:val="Style12"/>
        <w:spacing w:lineRule="auto" w:line="240" w:before="140" w:after="1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Рекомендуется взрослым при симптоме «усталости» глаз, длительной работе за компьютером; занятиях спортом — виндсерфингом, горными лыжами, альпинизмом (из-за высокой отражательной способности световых лучей водными и снежными поверхностями); при работах, связанных с ярким светом (сварка, фотовспышки и др.); при возрастных изменениях в структурах глаза. </w:t>
      </w:r>
    </w:p>
    <w:p>
      <w:pPr>
        <w:pStyle w:val="2"/>
        <w:spacing w:lineRule="auto" w:line="240" w:before="140" w:after="120"/>
        <w:rPr>
          <w:rFonts w:ascii="Times New Roman" w:hAnsi="Times New Roman"/>
          <w:b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Состав:</w:t>
      </w:r>
    </w:p>
    <w:p>
      <w:pPr>
        <w:pStyle w:val="Style12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Декстроза, регуляторы кислотности (лимонная кислота, натрия гидрокарбонат), бетакаротин 1 %, стабилизатор полиэтиленгликоль, ароматизатор клюква, лютеин 5 %, L-аскорбиновая кислота, цинка сульфат, подсластитель аспартам, зеаксантин 5 %, никотинамид, DL-альфа-токоферола ацетат, D-пантотенат кальция, натрия селенит 2,5 %, рибофлавин-5-фосфат натрия, пиридоксин гидрохлорид, тиамина мононитрат, ретинола ацетат, фолиевая кислота, цианокобаламин, бета-каротин.</w:t>
        <w:br/>
        <w:t xml:space="preserve">Содержит источник фенилаланина. </w:t>
      </w:r>
    </w:p>
    <w:p>
      <w:pPr>
        <w:pStyle w:val="Style12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7682" w:type="dxa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3430"/>
        <w:gridCol w:w="1255"/>
        <w:gridCol w:w="2997"/>
      </w:tblGrid>
      <w:tr>
        <w:trPr>
          <w:tblHeader w:val="true"/>
        </w:trPr>
        <w:tc>
          <w:tcPr>
            <w:tcW w:w="3430" w:type="dxa"/>
            <w:tcBorders/>
            <w:vAlign w:val="center"/>
          </w:tcPr>
          <w:p>
            <w:pPr>
              <w:pStyle w:val="Style17"/>
              <w:suppressLineNumbers/>
              <w:spacing w:before="0" w:after="160"/>
              <w:jc w:val="center"/>
              <w:rPr/>
            </w:pPr>
            <w:r>
              <w:rPr/>
              <w:t xml:space="preserve">Одна таблетка содержит </w:t>
            </w:r>
          </w:p>
        </w:tc>
        <w:tc>
          <w:tcPr>
            <w:tcW w:w="1255" w:type="dxa"/>
            <w:tcBorders/>
            <w:vAlign w:val="center"/>
          </w:tcPr>
          <w:p>
            <w:pPr>
              <w:pStyle w:val="Style17"/>
              <w:suppressLineNumbers/>
              <w:spacing w:before="0" w:after="160"/>
              <w:jc w:val="center"/>
              <w:rPr/>
            </w:pPr>
            <w:r>
              <w:rPr/>
              <w:t xml:space="preserve">Количество </w:t>
            </w:r>
          </w:p>
        </w:tc>
        <w:tc>
          <w:tcPr>
            <w:tcW w:w="2997" w:type="dxa"/>
            <w:tcBorders/>
            <w:vAlign w:val="center"/>
          </w:tcPr>
          <w:p>
            <w:pPr>
              <w:pStyle w:val="Style17"/>
              <w:suppressLineNumbers/>
              <w:spacing w:before="0" w:after="160"/>
              <w:jc w:val="center"/>
              <w:rPr/>
            </w:pPr>
            <w:r>
              <w:rPr/>
              <w:t>% от рекомендуемого уровня</w:t>
              <w:br/>
              <w:t xml:space="preserve">суточного потребления </w:t>
            </w:r>
          </w:p>
        </w:tc>
      </w:tr>
      <w:tr>
        <w:trPr/>
        <w:tc>
          <w:tcPr>
            <w:tcW w:w="3430" w:type="dxa"/>
            <w:tcBorders/>
            <w:vAlign w:val="center"/>
          </w:tcPr>
          <w:p>
            <w:pPr>
              <w:pStyle w:val="Style16"/>
              <w:widowControl w:val="false"/>
              <w:suppressLineNumbers/>
              <w:spacing w:before="0" w:after="160"/>
              <w:rPr/>
            </w:pPr>
            <w:r>
              <w:rPr/>
              <w:t xml:space="preserve">Витамин С (аскорбиновая кислота) </w:t>
            </w:r>
          </w:p>
        </w:tc>
        <w:tc>
          <w:tcPr>
            <w:tcW w:w="1255" w:type="dxa"/>
            <w:tcBorders/>
            <w:vAlign w:val="center"/>
          </w:tcPr>
          <w:p>
            <w:pPr>
              <w:pStyle w:val="Style16"/>
              <w:widowControl w:val="false"/>
              <w:suppressLineNumbers/>
              <w:spacing w:before="0" w:after="160"/>
              <w:rPr/>
            </w:pPr>
            <w:r>
              <w:rPr/>
              <w:t xml:space="preserve">75,0 мг </w:t>
            </w:r>
          </w:p>
        </w:tc>
        <w:tc>
          <w:tcPr>
            <w:tcW w:w="2997" w:type="dxa"/>
            <w:tcBorders/>
            <w:vAlign w:val="center"/>
          </w:tcPr>
          <w:p>
            <w:pPr>
              <w:pStyle w:val="Style16"/>
              <w:widowControl w:val="false"/>
              <w:suppressLineNumbers/>
              <w:spacing w:before="0" w:after="160"/>
              <w:rPr/>
            </w:pPr>
            <w:r>
              <w:rPr/>
              <w:t xml:space="preserve">125 </w:t>
            </w:r>
          </w:p>
        </w:tc>
      </w:tr>
      <w:tr>
        <w:trPr/>
        <w:tc>
          <w:tcPr>
            <w:tcW w:w="3430" w:type="dxa"/>
            <w:tcBorders/>
            <w:vAlign w:val="center"/>
          </w:tcPr>
          <w:p>
            <w:pPr>
              <w:pStyle w:val="Style16"/>
              <w:widowControl w:val="false"/>
              <w:suppressLineNumbers/>
              <w:spacing w:before="0" w:after="160"/>
              <w:rPr/>
            </w:pPr>
            <w:r>
              <w:rPr/>
              <w:t xml:space="preserve">Витамин РР (никотинамид) </w:t>
            </w:r>
          </w:p>
        </w:tc>
        <w:tc>
          <w:tcPr>
            <w:tcW w:w="1255" w:type="dxa"/>
            <w:tcBorders/>
            <w:vAlign w:val="center"/>
          </w:tcPr>
          <w:p>
            <w:pPr>
              <w:pStyle w:val="Style16"/>
              <w:widowControl w:val="false"/>
              <w:suppressLineNumbers/>
              <w:spacing w:before="0" w:after="160"/>
              <w:rPr/>
            </w:pPr>
            <w:r>
              <w:rPr/>
              <w:t xml:space="preserve">20,0 мг </w:t>
            </w:r>
          </w:p>
        </w:tc>
        <w:tc>
          <w:tcPr>
            <w:tcW w:w="2997" w:type="dxa"/>
            <w:tcBorders/>
            <w:vAlign w:val="center"/>
          </w:tcPr>
          <w:p>
            <w:pPr>
              <w:pStyle w:val="Style16"/>
              <w:widowControl w:val="false"/>
              <w:suppressLineNumbers/>
              <w:spacing w:before="0" w:after="160"/>
              <w:rPr/>
            </w:pPr>
            <w:r>
              <w:rPr/>
              <w:t xml:space="preserve">111 </w:t>
            </w:r>
          </w:p>
        </w:tc>
      </w:tr>
      <w:tr>
        <w:trPr/>
        <w:tc>
          <w:tcPr>
            <w:tcW w:w="3430" w:type="dxa"/>
            <w:tcBorders/>
            <w:vAlign w:val="center"/>
          </w:tcPr>
          <w:p>
            <w:pPr>
              <w:pStyle w:val="Style16"/>
              <w:widowControl w:val="false"/>
              <w:suppressLineNumbers/>
              <w:spacing w:before="0" w:after="160"/>
              <w:rPr/>
            </w:pPr>
            <w:r>
              <w:rPr/>
              <w:t xml:space="preserve">Пантотеновая кислота </w:t>
            </w:r>
          </w:p>
        </w:tc>
        <w:tc>
          <w:tcPr>
            <w:tcW w:w="1255" w:type="dxa"/>
            <w:tcBorders/>
            <w:vAlign w:val="center"/>
          </w:tcPr>
          <w:p>
            <w:pPr>
              <w:pStyle w:val="Style16"/>
              <w:widowControl w:val="false"/>
              <w:suppressLineNumbers/>
              <w:spacing w:before="0" w:after="160"/>
              <w:rPr/>
            </w:pPr>
            <w:r>
              <w:rPr/>
              <w:t xml:space="preserve">9,0 мг </w:t>
            </w:r>
          </w:p>
        </w:tc>
        <w:tc>
          <w:tcPr>
            <w:tcW w:w="2997" w:type="dxa"/>
            <w:tcBorders/>
            <w:vAlign w:val="center"/>
          </w:tcPr>
          <w:p>
            <w:pPr>
              <w:pStyle w:val="Style16"/>
              <w:widowControl w:val="false"/>
              <w:suppressLineNumbers/>
              <w:spacing w:before="0" w:after="160"/>
              <w:rPr/>
            </w:pPr>
            <w:r>
              <w:rPr/>
              <w:t xml:space="preserve">150 </w:t>
            </w:r>
          </w:p>
        </w:tc>
      </w:tr>
      <w:tr>
        <w:trPr/>
        <w:tc>
          <w:tcPr>
            <w:tcW w:w="3430" w:type="dxa"/>
            <w:tcBorders/>
            <w:vAlign w:val="center"/>
          </w:tcPr>
          <w:p>
            <w:pPr>
              <w:pStyle w:val="Style16"/>
              <w:widowControl w:val="false"/>
              <w:suppressLineNumbers/>
              <w:spacing w:before="0" w:after="160"/>
              <w:rPr/>
            </w:pPr>
            <w:r>
              <w:rPr/>
              <w:t xml:space="preserve">Витамин Е (токоферол) </w:t>
            </w:r>
          </w:p>
        </w:tc>
        <w:tc>
          <w:tcPr>
            <w:tcW w:w="1255" w:type="dxa"/>
            <w:tcBorders/>
            <w:vAlign w:val="center"/>
          </w:tcPr>
          <w:p>
            <w:pPr>
              <w:pStyle w:val="Style16"/>
              <w:widowControl w:val="false"/>
              <w:suppressLineNumbers/>
              <w:spacing w:before="0" w:after="160"/>
              <w:rPr/>
            </w:pPr>
            <w:r>
              <w:rPr/>
              <w:t xml:space="preserve">6,7 мг </w:t>
            </w:r>
          </w:p>
        </w:tc>
        <w:tc>
          <w:tcPr>
            <w:tcW w:w="2997" w:type="dxa"/>
            <w:tcBorders/>
            <w:vAlign w:val="center"/>
          </w:tcPr>
          <w:p>
            <w:pPr>
              <w:pStyle w:val="Style16"/>
              <w:widowControl w:val="false"/>
              <w:suppressLineNumbers/>
              <w:spacing w:before="0" w:after="160"/>
              <w:rPr/>
            </w:pPr>
            <w:r>
              <w:rPr/>
              <w:t xml:space="preserve">67 </w:t>
            </w:r>
          </w:p>
        </w:tc>
      </w:tr>
      <w:tr>
        <w:trPr/>
        <w:tc>
          <w:tcPr>
            <w:tcW w:w="3430" w:type="dxa"/>
            <w:tcBorders/>
            <w:vAlign w:val="center"/>
          </w:tcPr>
          <w:p>
            <w:pPr>
              <w:pStyle w:val="Style16"/>
              <w:widowControl w:val="false"/>
              <w:suppressLineNumbers/>
              <w:spacing w:before="0" w:after="160"/>
              <w:rPr/>
            </w:pPr>
            <w:r>
              <w:rPr/>
              <w:t xml:space="preserve">Витамин В2 (рибофлавин) </w:t>
            </w:r>
          </w:p>
        </w:tc>
        <w:tc>
          <w:tcPr>
            <w:tcW w:w="1255" w:type="dxa"/>
            <w:tcBorders/>
            <w:vAlign w:val="center"/>
          </w:tcPr>
          <w:p>
            <w:pPr>
              <w:pStyle w:val="Style16"/>
              <w:widowControl w:val="false"/>
              <w:suppressLineNumbers/>
              <w:spacing w:before="0" w:after="160"/>
              <w:rPr/>
            </w:pPr>
            <w:r>
              <w:rPr/>
              <w:t xml:space="preserve">2,0 мг </w:t>
            </w:r>
          </w:p>
        </w:tc>
        <w:tc>
          <w:tcPr>
            <w:tcW w:w="2997" w:type="dxa"/>
            <w:tcBorders/>
            <w:vAlign w:val="center"/>
          </w:tcPr>
          <w:p>
            <w:pPr>
              <w:pStyle w:val="Style16"/>
              <w:widowControl w:val="false"/>
              <w:suppressLineNumbers/>
              <w:spacing w:before="0" w:after="160"/>
              <w:rPr/>
            </w:pPr>
            <w:r>
              <w:rPr/>
              <w:t xml:space="preserve">125 </w:t>
            </w:r>
          </w:p>
        </w:tc>
      </w:tr>
      <w:tr>
        <w:trPr/>
        <w:tc>
          <w:tcPr>
            <w:tcW w:w="3430" w:type="dxa"/>
            <w:tcBorders/>
            <w:vAlign w:val="center"/>
          </w:tcPr>
          <w:p>
            <w:pPr>
              <w:pStyle w:val="Style16"/>
              <w:widowControl w:val="false"/>
              <w:suppressLineNumbers/>
              <w:spacing w:before="0" w:after="160"/>
              <w:rPr/>
            </w:pPr>
            <w:r>
              <w:rPr/>
              <w:t xml:space="preserve">Витамин В6 (пиридоксин) </w:t>
            </w:r>
          </w:p>
        </w:tc>
        <w:tc>
          <w:tcPr>
            <w:tcW w:w="1255" w:type="dxa"/>
            <w:tcBorders/>
            <w:vAlign w:val="center"/>
          </w:tcPr>
          <w:p>
            <w:pPr>
              <w:pStyle w:val="Style16"/>
              <w:widowControl w:val="false"/>
              <w:suppressLineNumbers/>
              <w:spacing w:before="0" w:after="160"/>
              <w:rPr/>
            </w:pPr>
            <w:r>
              <w:rPr/>
              <w:t xml:space="preserve">1,64 мг </w:t>
            </w:r>
          </w:p>
        </w:tc>
        <w:tc>
          <w:tcPr>
            <w:tcW w:w="2997" w:type="dxa"/>
            <w:tcBorders/>
            <w:vAlign w:val="center"/>
          </w:tcPr>
          <w:p>
            <w:pPr>
              <w:pStyle w:val="Style16"/>
              <w:widowControl w:val="false"/>
              <w:suppressLineNumbers/>
              <w:spacing w:before="0" w:after="160"/>
              <w:rPr/>
            </w:pPr>
            <w:r>
              <w:rPr/>
              <w:t xml:space="preserve">82 </w:t>
            </w:r>
          </w:p>
        </w:tc>
      </w:tr>
      <w:tr>
        <w:trPr/>
        <w:tc>
          <w:tcPr>
            <w:tcW w:w="3430" w:type="dxa"/>
            <w:tcBorders/>
            <w:vAlign w:val="center"/>
          </w:tcPr>
          <w:p>
            <w:pPr>
              <w:pStyle w:val="Style16"/>
              <w:widowControl w:val="false"/>
              <w:suppressLineNumbers/>
              <w:spacing w:before="0" w:after="160"/>
              <w:rPr/>
            </w:pPr>
            <w:r>
              <w:rPr/>
              <w:t xml:space="preserve">Витамин В1 (тиамин) </w:t>
            </w:r>
          </w:p>
        </w:tc>
        <w:tc>
          <w:tcPr>
            <w:tcW w:w="1255" w:type="dxa"/>
            <w:tcBorders/>
            <w:vAlign w:val="center"/>
          </w:tcPr>
          <w:p>
            <w:pPr>
              <w:pStyle w:val="Style16"/>
              <w:widowControl w:val="false"/>
              <w:suppressLineNumbers/>
              <w:spacing w:before="0" w:after="160"/>
              <w:rPr/>
            </w:pPr>
            <w:r>
              <w:rPr/>
              <w:t xml:space="preserve">1,6 мг </w:t>
            </w:r>
          </w:p>
        </w:tc>
        <w:tc>
          <w:tcPr>
            <w:tcW w:w="2997" w:type="dxa"/>
            <w:tcBorders/>
            <w:vAlign w:val="center"/>
          </w:tcPr>
          <w:p>
            <w:pPr>
              <w:pStyle w:val="Style16"/>
              <w:widowControl w:val="false"/>
              <w:suppressLineNumbers/>
              <w:spacing w:before="0" w:after="160"/>
              <w:rPr/>
            </w:pPr>
            <w:r>
              <w:rPr/>
              <w:t xml:space="preserve">114 </w:t>
            </w:r>
          </w:p>
        </w:tc>
      </w:tr>
      <w:tr>
        <w:trPr/>
        <w:tc>
          <w:tcPr>
            <w:tcW w:w="3430" w:type="dxa"/>
            <w:tcBorders/>
            <w:vAlign w:val="center"/>
          </w:tcPr>
          <w:p>
            <w:pPr>
              <w:pStyle w:val="Style16"/>
              <w:widowControl w:val="false"/>
              <w:suppressLineNumbers/>
              <w:spacing w:before="0" w:after="160"/>
              <w:rPr/>
            </w:pPr>
            <w:r>
              <w:rPr/>
              <w:t xml:space="preserve">Витамин А (ретинол) </w:t>
            </w:r>
          </w:p>
        </w:tc>
        <w:tc>
          <w:tcPr>
            <w:tcW w:w="1255" w:type="dxa"/>
            <w:tcBorders/>
            <w:vAlign w:val="center"/>
          </w:tcPr>
          <w:p>
            <w:pPr>
              <w:pStyle w:val="Style16"/>
              <w:widowControl w:val="false"/>
              <w:suppressLineNumbers/>
              <w:spacing w:before="0" w:after="160"/>
              <w:rPr/>
            </w:pPr>
            <w:r>
              <w:rPr/>
              <w:t xml:space="preserve">900,0 мкг </w:t>
            </w:r>
          </w:p>
        </w:tc>
        <w:tc>
          <w:tcPr>
            <w:tcW w:w="2997" w:type="dxa"/>
            <w:tcBorders/>
            <w:vAlign w:val="center"/>
          </w:tcPr>
          <w:p>
            <w:pPr>
              <w:pStyle w:val="Style16"/>
              <w:widowControl w:val="false"/>
              <w:suppressLineNumbers/>
              <w:spacing w:before="0" w:after="160"/>
              <w:rPr/>
            </w:pPr>
            <w:r>
              <w:rPr/>
              <w:t xml:space="preserve">113 </w:t>
            </w:r>
          </w:p>
        </w:tc>
      </w:tr>
      <w:tr>
        <w:trPr/>
        <w:tc>
          <w:tcPr>
            <w:tcW w:w="3430" w:type="dxa"/>
            <w:tcBorders/>
            <w:vAlign w:val="center"/>
          </w:tcPr>
          <w:p>
            <w:pPr>
              <w:pStyle w:val="Style16"/>
              <w:widowControl w:val="false"/>
              <w:suppressLineNumbers/>
              <w:spacing w:before="0" w:after="160"/>
              <w:rPr/>
            </w:pPr>
            <w:r>
              <w:rPr/>
              <w:t xml:space="preserve">Фолиевая кислота </w:t>
            </w:r>
          </w:p>
        </w:tc>
        <w:tc>
          <w:tcPr>
            <w:tcW w:w="1255" w:type="dxa"/>
            <w:tcBorders/>
            <w:vAlign w:val="center"/>
          </w:tcPr>
          <w:p>
            <w:pPr>
              <w:pStyle w:val="Style16"/>
              <w:widowControl w:val="false"/>
              <w:suppressLineNumbers/>
              <w:spacing w:before="0" w:after="160"/>
              <w:rPr/>
            </w:pPr>
            <w:r>
              <w:rPr/>
              <w:t xml:space="preserve">200,0 мкг </w:t>
            </w:r>
          </w:p>
        </w:tc>
        <w:tc>
          <w:tcPr>
            <w:tcW w:w="2997" w:type="dxa"/>
            <w:tcBorders/>
            <w:vAlign w:val="center"/>
          </w:tcPr>
          <w:p>
            <w:pPr>
              <w:pStyle w:val="Style16"/>
              <w:widowControl w:val="false"/>
              <w:suppressLineNumbers/>
              <w:spacing w:before="0" w:after="160"/>
              <w:rPr/>
            </w:pPr>
            <w:r>
              <w:rPr/>
              <w:t xml:space="preserve">100 </w:t>
            </w:r>
          </w:p>
        </w:tc>
      </w:tr>
      <w:tr>
        <w:trPr/>
        <w:tc>
          <w:tcPr>
            <w:tcW w:w="3430" w:type="dxa"/>
            <w:tcBorders/>
            <w:vAlign w:val="center"/>
          </w:tcPr>
          <w:p>
            <w:pPr>
              <w:pStyle w:val="Style16"/>
              <w:widowControl w:val="false"/>
              <w:suppressLineNumbers/>
              <w:spacing w:before="0" w:after="160"/>
              <w:rPr/>
            </w:pPr>
            <w:r>
              <w:rPr/>
              <w:t xml:space="preserve">Витамин В12 (цианокобаламин) </w:t>
            </w:r>
          </w:p>
        </w:tc>
        <w:tc>
          <w:tcPr>
            <w:tcW w:w="1255" w:type="dxa"/>
            <w:tcBorders/>
            <w:vAlign w:val="center"/>
          </w:tcPr>
          <w:p>
            <w:pPr>
              <w:pStyle w:val="Style16"/>
              <w:widowControl w:val="false"/>
              <w:suppressLineNumbers/>
              <w:spacing w:before="0" w:after="160"/>
              <w:rPr/>
            </w:pPr>
            <w:r>
              <w:rPr/>
              <w:t xml:space="preserve">5,0 мкг </w:t>
            </w:r>
          </w:p>
        </w:tc>
        <w:tc>
          <w:tcPr>
            <w:tcW w:w="2997" w:type="dxa"/>
            <w:tcBorders/>
            <w:vAlign w:val="center"/>
          </w:tcPr>
          <w:p>
            <w:pPr>
              <w:pStyle w:val="Style16"/>
              <w:widowControl w:val="false"/>
              <w:suppressLineNumbers/>
              <w:spacing w:before="0" w:after="160"/>
              <w:rPr/>
            </w:pPr>
            <w:r>
              <w:rPr/>
              <w:t xml:space="preserve">500 </w:t>
            </w:r>
          </w:p>
        </w:tc>
      </w:tr>
      <w:tr>
        <w:trPr/>
        <w:tc>
          <w:tcPr>
            <w:tcW w:w="3430" w:type="dxa"/>
            <w:tcBorders/>
            <w:vAlign w:val="center"/>
          </w:tcPr>
          <w:p>
            <w:pPr>
              <w:pStyle w:val="Style16"/>
              <w:widowControl w:val="false"/>
              <w:suppressLineNumbers/>
              <w:spacing w:before="0" w:after="160"/>
              <w:rPr/>
            </w:pPr>
            <w:r>
              <w:rPr/>
              <w:t xml:space="preserve">Лютеин </w:t>
            </w:r>
          </w:p>
        </w:tc>
        <w:tc>
          <w:tcPr>
            <w:tcW w:w="1255" w:type="dxa"/>
            <w:tcBorders/>
            <w:vAlign w:val="center"/>
          </w:tcPr>
          <w:p>
            <w:pPr>
              <w:pStyle w:val="Style16"/>
              <w:widowControl w:val="false"/>
              <w:suppressLineNumbers/>
              <w:spacing w:before="0" w:after="160"/>
              <w:rPr/>
            </w:pPr>
            <w:r>
              <w:rPr/>
              <w:t xml:space="preserve">5,0 мг </w:t>
            </w:r>
          </w:p>
        </w:tc>
        <w:tc>
          <w:tcPr>
            <w:tcW w:w="2997" w:type="dxa"/>
            <w:tcBorders/>
            <w:vAlign w:val="center"/>
          </w:tcPr>
          <w:p>
            <w:pPr>
              <w:pStyle w:val="Style16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</w:tr>
      <w:tr>
        <w:trPr/>
        <w:tc>
          <w:tcPr>
            <w:tcW w:w="3430" w:type="dxa"/>
            <w:tcBorders/>
            <w:vAlign w:val="center"/>
          </w:tcPr>
          <w:p>
            <w:pPr>
              <w:pStyle w:val="Style16"/>
              <w:widowControl w:val="false"/>
              <w:suppressLineNumbers/>
              <w:spacing w:before="0" w:after="160"/>
              <w:rPr/>
            </w:pPr>
            <w:r>
              <w:rPr/>
              <w:t xml:space="preserve">Бета-каротин </w:t>
            </w:r>
          </w:p>
        </w:tc>
        <w:tc>
          <w:tcPr>
            <w:tcW w:w="1255" w:type="dxa"/>
            <w:tcBorders/>
            <w:vAlign w:val="center"/>
          </w:tcPr>
          <w:p>
            <w:pPr>
              <w:pStyle w:val="Style16"/>
              <w:widowControl w:val="false"/>
              <w:suppressLineNumbers/>
              <w:spacing w:before="0" w:after="160"/>
              <w:rPr/>
            </w:pPr>
            <w:r>
              <w:rPr/>
              <w:t xml:space="preserve">2,0 мг </w:t>
            </w:r>
          </w:p>
        </w:tc>
        <w:tc>
          <w:tcPr>
            <w:tcW w:w="2997" w:type="dxa"/>
            <w:tcBorders/>
            <w:vAlign w:val="center"/>
          </w:tcPr>
          <w:p>
            <w:pPr>
              <w:pStyle w:val="Style16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</w:tr>
      <w:tr>
        <w:trPr/>
        <w:tc>
          <w:tcPr>
            <w:tcW w:w="3430" w:type="dxa"/>
            <w:tcBorders/>
            <w:vAlign w:val="center"/>
          </w:tcPr>
          <w:p>
            <w:pPr>
              <w:pStyle w:val="Style16"/>
              <w:widowControl w:val="false"/>
              <w:suppressLineNumbers/>
              <w:spacing w:before="0" w:after="160"/>
              <w:rPr/>
            </w:pPr>
            <w:r>
              <w:rPr/>
              <w:t xml:space="preserve">Зеаксантин </w:t>
            </w:r>
          </w:p>
        </w:tc>
        <w:tc>
          <w:tcPr>
            <w:tcW w:w="1255" w:type="dxa"/>
            <w:tcBorders/>
            <w:vAlign w:val="center"/>
          </w:tcPr>
          <w:p>
            <w:pPr>
              <w:pStyle w:val="Style16"/>
              <w:widowControl w:val="false"/>
              <w:suppressLineNumbers/>
              <w:spacing w:before="0" w:after="160"/>
              <w:rPr/>
            </w:pPr>
            <w:r>
              <w:rPr/>
              <w:t xml:space="preserve">1,0 мг </w:t>
            </w:r>
          </w:p>
        </w:tc>
        <w:tc>
          <w:tcPr>
            <w:tcW w:w="2997" w:type="dxa"/>
            <w:tcBorders/>
            <w:vAlign w:val="center"/>
          </w:tcPr>
          <w:p>
            <w:pPr>
              <w:pStyle w:val="Style16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</w:tr>
      <w:tr>
        <w:trPr/>
        <w:tc>
          <w:tcPr>
            <w:tcW w:w="3430" w:type="dxa"/>
            <w:tcBorders/>
            <w:vAlign w:val="center"/>
          </w:tcPr>
          <w:p>
            <w:pPr>
              <w:pStyle w:val="Style16"/>
              <w:widowControl w:val="false"/>
              <w:suppressLineNumbers/>
              <w:spacing w:before="0" w:after="160"/>
              <w:rPr/>
            </w:pPr>
            <w:r>
              <w:rPr/>
              <w:t xml:space="preserve">Цинк </w:t>
            </w:r>
          </w:p>
        </w:tc>
        <w:tc>
          <w:tcPr>
            <w:tcW w:w="1255" w:type="dxa"/>
            <w:tcBorders/>
            <w:vAlign w:val="center"/>
          </w:tcPr>
          <w:p>
            <w:pPr>
              <w:pStyle w:val="Style16"/>
              <w:widowControl w:val="false"/>
              <w:suppressLineNumbers/>
              <w:spacing w:before="0" w:after="160"/>
              <w:rPr/>
            </w:pPr>
            <w:r>
              <w:rPr/>
              <w:t xml:space="preserve">15,0 мг </w:t>
            </w:r>
          </w:p>
        </w:tc>
        <w:tc>
          <w:tcPr>
            <w:tcW w:w="2997" w:type="dxa"/>
            <w:tcBorders/>
            <w:vAlign w:val="center"/>
          </w:tcPr>
          <w:p>
            <w:pPr>
              <w:pStyle w:val="Style16"/>
              <w:widowControl w:val="false"/>
              <w:suppressLineNumbers/>
              <w:spacing w:before="0" w:after="160"/>
              <w:rPr/>
            </w:pPr>
            <w:r>
              <w:rPr/>
              <w:t xml:space="preserve">100 </w:t>
            </w:r>
          </w:p>
        </w:tc>
      </w:tr>
      <w:tr>
        <w:trPr/>
        <w:tc>
          <w:tcPr>
            <w:tcW w:w="3430" w:type="dxa"/>
            <w:tcBorders/>
            <w:vAlign w:val="center"/>
          </w:tcPr>
          <w:p>
            <w:pPr>
              <w:pStyle w:val="Style16"/>
              <w:widowControl w:val="false"/>
              <w:suppressLineNumbers/>
              <w:spacing w:before="0" w:after="160"/>
              <w:rPr/>
            </w:pPr>
            <w:r>
              <w:rPr/>
              <w:t xml:space="preserve">Селен </w:t>
            </w:r>
          </w:p>
        </w:tc>
        <w:tc>
          <w:tcPr>
            <w:tcW w:w="1255" w:type="dxa"/>
            <w:tcBorders/>
            <w:vAlign w:val="center"/>
          </w:tcPr>
          <w:p>
            <w:pPr>
              <w:pStyle w:val="Style16"/>
              <w:widowControl w:val="false"/>
              <w:suppressLineNumbers/>
              <w:spacing w:before="0" w:after="160"/>
              <w:rPr/>
            </w:pPr>
            <w:r>
              <w:rPr/>
              <w:t xml:space="preserve">55,0 мкг </w:t>
            </w:r>
          </w:p>
        </w:tc>
        <w:tc>
          <w:tcPr>
            <w:tcW w:w="2997" w:type="dxa"/>
            <w:tcBorders/>
            <w:vAlign w:val="center"/>
          </w:tcPr>
          <w:p>
            <w:pPr>
              <w:pStyle w:val="Style16"/>
              <w:widowControl w:val="false"/>
              <w:suppressLineNumbers/>
              <w:spacing w:before="0" w:after="160"/>
              <w:rPr/>
            </w:pPr>
            <w:r>
              <w:rPr/>
              <w:t xml:space="preserve">79 </w:t>
            </w:r>
          </w:p>
        </w:tc>
      </w:tr>
    </w:tbl>
    <w:p>
      <w:pPr>
        <w:pStyle w:val="Style12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3"/>
        <w:spacing w:lineRule="auto" w:line="240" w:before="140" w:after="1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Способ применения и дозы:</w:t>
      </w:r>
    </w:p>
    <w:p>
      <w:pPr>
        <w:pStyle w:val="Style12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Взрослым – по одной таблетке в день во время или после еды. Таблетку перед употреблением растворить в стакане (200 мл) теплой (37-40 ℃) питьевой воды. Возможно окрашивание каратиноидами стенок стакана в оранжевый цвет.</w:t>
      </w:r>
    </w:p>
    <w:p>
      <w:pPr>
        <w:pStyle w:val="3"/>
        <w:spacing w:lineRule="auto" w:line="240" w:before="140" w:after="1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Противопоказания:</w:t>
      </w:r>
    </w:p>
    <w:p>
      <w:pPr>
        <w:pStyle w:val="Style12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Индивидуальная непереносимость компонентов, фенилкетонурия.</w:t>
      </w:r>
    </w:p>
    <w:p>
      <w:pPr>
        <w:pStyle w:val="Style12"/>
        <w:spacing w:lineRule="auto" w:line="240" w:before="140" w:after="1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Хранить в недоступном для детей месте при температуре не выше 25</w:t>
      </w:r>
      <w:r>
        <w:rPr>
          <w:rFonts w:ascii="Times New Roman" w:hAnsi="Times New Roman"/>
          <w:sz w:val="28"/>
          <w:szCs w:val="28"/>
          <w:vertAlign w:val="superscript"/>
        </w:rPr>
        <w:t xml:space="preserve">0 </w:t>
      </w:r>
      <w:r>
        <w:rPr>
          <w:rFonts w:ascii="Times New Roman" w:hAnsi="Times New Roman"/>
          <w:position w:val="0"/>
          <w:sz w:val="28"/>
          <w:sz w:val="28"/>
          <w:szCs w:val="28"/>
          <w:vertAlign w:val="baseline"/>
        </w:rPr>
        <w:t xml:space="preserve">С </w:t>
      </w:r>
      <w:r>
        <w:rPr>
          <w:rFonts w:ascii="Times New Roman" w:hAnsi="Times New Roman"/>
          <w:position w:val="0"/>
          <w:sz w:val="28"/>
          <w:sz w:val="28"/>
          <w:szCs w:val="28"/>
          <w:vertAlign w:val="baseline"/>
        </w:rPr>
        <w:t>и относительной влажности не выше 70%.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Calibri Light">
    <w:charset w:val="cc"/>
    <w:family w:val="roman"/>
    <w:pitch w:val="variable"/>
  </w:font>
  <w:font w:name="Liberation Serif">
    <w:altName w:val="Times New Roman"/>
    <w:charset w:val="cc"/>
    <w:family w:val="swiss"/>
    <w:pitch w:val="variable"/>
  </w:font>
  <w:font w:name="Symbol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link w:val="11"/>
    <w:uiPriority w:val="9"/>
    <w:qFormat/>
    <w:rsid w:val="0091731f"/>
    <w:pPr>
      <w:spacing w:lineRule="auto" w:line="240" w:beforeAutospacing="1" w:afterAutospacing="1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paragraph" w:styleId="2">
    <w:name w:val="Heading 2"/>
    <w:basedOn w:val="Normal"/>
    <w:next w:val="Normal"/>
    <w:link w:val="21"/>
    <w:uiPriority w:val="9"/>
    <w:unhideWhenUsed/>
    <w:qFormat/>
    <w:rsid w:val="0091731f"/>
    <w:pPr>
      <w:keepNext w:val="true"/>
      <w:keepLines/>
      <w:spacing w:before="40" w:after="0"/>
      <w:outlineLvl w:val="1"/>
    </w:pPr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26"/>
      <w:szCs w:val="26"/>
    </w:rPr>
  </w:style>
  <w:style w:type="paragraph" w:styleId="3">
    <w:name w:val="Heading 3"/>
    <w:basedOn w:val="Style11"/>
    <w:next w:val="Style12"/>
    <w:qFormat/>
    <w:pPr>
      <w:spacing w:before="140" w:after="120"/>
      <w:outlineLvl w:val="2"/>
    </w:pPr>
    <w:rPr>
      <w:rFonts w:ascii="Liberation Serif" w:hAnsi="Liberation Serif" w:eastAsia="Segoe UI" w:cs="Tahoma"/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uiPriority w:val="9"/>
    <w:qFormat/>
    <w:rsid w:val="0091731f"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21" w:customStyle="1">
    <w:name w:val="Заголовок 2 Знак"/>
    <w:basedOn w:val="DefaultParagraphFont"/>
    <w:uiPriority w:val="9"/>
    <w:qFormat/>
    <w:rsid w:val="0091731f"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26"/>
      <w:szCs w:val="26"/>
    </w:rPr>
  </w:style>
  <w:style w:type="character" w:styleId="Strong">
    <w:name w:val="Strong"/>
    <w:basedOn w:val="DefaultParagraphFont"/>
    <w:uiPriority w:val="22"/>
    <w:qFormat/>
    <w:rsid w:val="0091731f"/>
    <w:rPr>
      <w:b/>
      <w:bCs/>
    </w:rPr>
  </w:style>
  <w:style w:type="character" w:styleId="WW8Num9z0">
    <w:name w:val="WW8Num9z0"/>
    <w:qFormat/>
    <w:rPr>
      <w:rFonts w:ascii="Symbol" w:hAnsi="Symbol" w:eastAsia="Times New Roman" w:cs="Symbol"/>
      <w:sz w:val="20"/>
      <w:szCs w:val="24"/>
      <w:lang w:eastAsia="ru-RU"/>
    </w:rPr>
  </w:style>
  <w:style w:type="paragraph" w:styleId="Style11">
    <w:name w:val="Заголовок"/>
    <w:basedOn w:val="Normal"/>
    <w:next w:val="Style12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2">
    <w:name w:val="Body Text"/>
    <w:basedOn w:val="Normal"/>
    <w:pPr>
      <w:spacing w:lineRule="auto" w:line="276" w:before="0" w:after="140"/>
    </w:pPr>
    <w:rPr/>
  </w:style>
  <w:style w:type="paragraph" w:styleId="Style13">
    <w:name w:val="List"/>
    <w:basedOn w:val="Style12"/>
    <w:pPr/>
    <w:rPr>
      <w:rFonts w:cs="Arial"/>
    </w:rPr>
  </w:style>
  <w:style w:type="paragraph" w:styleId="Style14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NormalWeb">
    <w:name w:val="Normal (Web)"/>
    <w:basedOn w:val="Normal"/>
    <w:uiPriority w:val="99"/>
    <w:semiHidden/>
    <w:unhideWhenUsed/>
    <w:qFormat/>
    <w:rsid w:val="0091731f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  <w:style w:type="paragraph" w:styleId="Style17">
    <w:name w:val="Заголовок таблицы"/>
    <w:basedOn w:val="Style16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WW8Num9">
    <w:name w:val="WW8Num9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Application>LibreOffice/7.3.5.2$Windows_X86_64 LibreOffice_project/184fe81b8c8c30d8b5082578aee2fed2ea847c01</Application>
  <AppVersion>15.0000</AppVersion>
  <Pages>2</Pages>
  <Words>267</Words>
  <Characters>1795</Characters>
  <CharactersWithSpaces>2058</CharactersWithSpaces>
  <Paragraphs>55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2023-04-20T06:03:00Z</dcterms:created>
  <dc:creator>spr3</dc:creator>
  <dc:description/>
  <dc:language>ru-RU</dc:language>
  <cp:lastModifiedBy/>
  <dcterms:modified xsi:type="dcterms:W3CDTF">2026-05-28T15:43:35Z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