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2"/>
          <w:sz w:val="32"/>
          <w:szCs w:val="32"/>
          <w:lang w:eastAsia="ru-RU"/>
          <w14:ligatures w14:val="none"/>
        </w:rPr>
        <w:t>МАГНИЙ ФОРТЕ 400 мг с витаминами В6,В2,С порошок для пригот.раствора БАД 5,5г саше-пакет №20</w:t>
      </w:r>
    </w:p>
    <w:p>
      <w:pPr>
        <w:pStyle w:val="Style1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Рекомендуется</w:t>
      </w:r>
      <w:r>
        <w:rPr>
          <w:rFonts w:ascii="Times New Roman" w:hAnsi="Times New Roman"/>
          <w:sz w:val="28"/>
          <w:szCs w:val="28"/>
        </w:rPr>
        <w:t xml:space="preserve"> в качестве биологически активной добавки к пище – дополнительного источника магния, витаминов В6, В2, С.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Состав:</w:t>
      </w:r>
      <w:r>
        <w:rPr>
          <w:rFonts w:ascii="Times New Roman" w:hAnsi="Times New Roman"/>
          <w:sz w:val="28"/>
          <w:szCs w:val="28"/>
        </w:rPr>
        <w:t xml:space="preserve"> магния цитрат безводный, сахар из свеклы, регуляторы кислотности лимонная кислота и гидрокарбонат натрия, аскорбиновая кислота, ароматизаторы натуральные «Апельсин» (содержит: мальтодекстрин, носитель триацетин Е1518, стабилизатор гуммиарабик Е414, натуральные вкусоароматические вещества) и «Малина» (содержит: мальтодекстрин, натуральные вкусоароматические вещества, стабилизатор гуммиарабик Е414, носитель триацетин Е1518), агенты антислеживающие диоксид кремния аморфный и кальциевая соль стеариновой кислоты, пиридоксина гидрохлорид, рибофлавин. Может содержать следы лактозы</w:t>
        <w:br/>
        <w:t>Пищевая ценность одного саше-пакета (средние значения): углеводы - 2 г, энергетическая ценность - 5 кДж (1 ккал).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Содержание биологически активных веществ (в 1 саше-пакете):</w:t>
      </w: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8"/>
        <w:gridCol w:w="3118"/>
        <w:gridCol w:w="3119"/>
      </w:tblGrid>
      <w:tr>
        <w:trPr/>
        <w:tc>
          <w:tcPr>
            <w:tcW w:w="3118" w:type="dxa"/>
            <w:tcBorders/>
          </w:tcPr>
          <w:p>
            <w:pPr>
              <w:pStyle w:val="Style19"/>
              <w:widowControl w:val="false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активных компонентов</w:t>
            </w:r>
          </w:p>
        </w:tc>
        <w:tc>
          <w:tcPr>
            <w:tcW w:w="3118" w:type="dxa"/>
            <w:tcBorders/>
          </w:tcPr>
          <w:p>
            <w:pPr>
              <w:pStyle w:val="Style19"/>
              <w:widowControl w:val="false"/>
              <w:spacing w:before="0"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в 1 саше-пакете(суточная доза),мг</w:t>
            </w:r>
          </w:p>
        </w:tc>
        <w:tc>
          <w:tcPr>
            <w:tcW w:w="3119" w:type="dxa"/>
            <w:tcBorders/>
          </w:tcPr>
          <w:p>
            <w:pPr>
              <w:pStyle w:val="Style19"/>
              <w:widowControl w:val="false"/>
              <w:spacing w:before="0" w:after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 от рекомендуемого уровня суточного потребления*в 1саше-пакете(суточная доза)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магний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400 </w:t>
            </w:r>
          </w:p>
        </w:tc>
        <w:tc>
          <w:tcPr>
            <w:tcW w:w="3119" w:type="dxa"/>
            <w:tcBorders/>
          </w:tcPr>
          <w:p>
            <w:pPr>
              <w:pStyle w:val="Style19"/>
              <w:widowControl w:val="false"/>
              <w:spacing w:before="0" w:after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витамин В6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119" w:type="dxa"/>
            <w:tcBorders/>
          </w:tcPr>
          <w:p>
            <w:pPr>
              <w:pStyle w:val="Style19"/>
              <w:widowControl w:val="false"/>
              <w:spacing w:before="0" w:after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300**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витамин В2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</w:p>
        </w:tc>
        <w:tc>
          <w:tcPr>
            <w:tcW w:w="3119" w:type="dxa"/>
            <w:tcBorders/>
          </w:tcPr>
          <w:p>
            <w:pPr>
              <w:pStyle w:val="Style19"/>
              <w:widowControl w:val="false"/>
              <w:spacing w:before="0" w:after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375**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витамин С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90 </w:t>
            </w:r>
          </w:p>
        </w:tc>
        <w:tc>
          <w:tcPr>
            <w:tcW w:w="3119" w:type="dxa"/>
            <w:tcBorders/>
          </w:tcPr>
          <w:p>
            <w:pPr>
              <w:pStyle w:val="Style19"/>
              <w:widowControl w:val="false"/>
              <w:spacing w:before="0" w:after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150**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- рекомендуемый уровень суточного потребления.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**-не превышает верхний допустимый уровень суточного потребления.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Пищевая ценность одного саше-пакета (средние значения): углеводы - 2 г, энергетическая ценность - 5 кДж (1 ккал).</w:t>
      </w:r>
    </w:p>
    <w:p>
      <w:pPr>
        <w:pStyle w:val="Style15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Рекомендации по применению:</w:t>
      </w:r>
    </w:p>
    <w:p>
      <w:pPr>
        <w:pStyle w:val="Style1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Взрослым по 1 саше-пакету в день во время еды, предварительно растворив в 100 мл воды комнатной температуры.</w:t>
      </w:r>
    </w:p>
    <w:p>
      <w:pPr>
        <w:pStyle w:val="NormalWeb"/>
        <w:spacing w:before="280" w:after="280"/>
        <w:rPr>
          <w:rFonts w:ascii="Times New Roman" w:hAnsi="Times New Roman"/>
          <w:sz w:val="28"/>
          <w:szCs w:val="28"/>
        </w:rPr>
      </w:pPr>
      <w:r>
        <w:rPr>
          <w:rStyle w:val="Style12"/>
          <w:rFonts w:cs="Times New Roman"/>
          <w:color w:val="auto"/>
          <w:sz w:val="28"/>
          <w:szCs w:val="28"/>
        </w:rPr>
        <w:t>Продолжительность приема:</w:t>
      </w:r>
      <w:r>
        <w:rPr>
          <w:rFonts w:cs="Times New Roman"/>
          <w:color w:val="auto"/>
          <w:sz w:val="28"/>
          <w:szCs w:val="28"/>
        </w:rPr>
        <w:br/>
        <w:t xml:space="preserve">1 месяц. При необходимости прием можно повторить. </w:t>
      </w:r>
    </w:p>
    <w:p>
      <w:pPr>
        <w:pStyle w:val="Style15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Противопоказания:</w:t>
      </w:r>
    </w:p>
    <w:p>
      <w:pPr>
        <w:pStyle w:val="Style1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Индивидуальная непереносимость компонентов продукта, беременность, период лактации.</w:t>
      </w:r>
    </w:p>
    <w:p>
      <w:pPr>
        <w:pStyle w:val="NormalWeb"/>
        <w:spacing w:before="280" w:after="28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cs="Times New Roman"/>
          <w:b/>
          <w:bCs/>
          <w:color w:val="auto"/>
          <w:sz w:val="28"/>
          <w:szCs w:val="28"/>
        </w:rPr>
        <w:t>Условия хранения:</w:t>
      </w:r>
      <w:r>
        <w:rPr>
          <w:rFonts w:cs="Times New Roman"/>
          <w:color w:val="auto"/>
          <w:sz w:val="28"/>
          <w:szCs w:val="28"/>
        </w:rPr>
        <w:t xml:space="preserve"> хранить в защищенном от попадания прямых солнечных лучей, в недоступном для детей месте, при температуре не выше +25°С.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1">
    <w:name w:val="Heading 1"/>
    <w:basedOn w:val="Normal"/>
    <w:link w:val="11"/>
    <w:uiPriority w:val="9"/>
    <w:qFormat/>
    <w:rsid w:val="00cc40c0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paragraph" w:styleId="2">
    <w:name w:val="Heading 2"/>
    <w:basedOn w:val="Normal"/>
    <w:next w:val="Normal"/>
    <w:link w:val="21"/>
    <w:uiPriority w:val="9"/>
    <w:unhideWhenUsed/>
    <w:qFormat/>
    <w:rsid w:val="00cc40c0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cc40c0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character" w:styleId="21" w:customStyle="1">
    <w:name w:val="Заголовок 2 Знак"/>
    <w:basedOn w:val="DefaultParagraphFont"/>
    <w:uiPriority w:val="9"/>
    <w:qFormat/>
    <w:rsid w:val="00cc40c0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cc40c0"/>
    <w:rPr>
      <w:b/>
      <w:bCs/>
    </w:rPr>
  </w:style>
  <w:style w:type="character" w:styleId="Style12">
    <w:name w:val="Выделение жирным"/>
    <w:qFormat/>
    <w:rPr>
      <w:b/>
      <w:bCs/>
    </w:rPr>
  </w:style>
  <w:style w:type="character" w:styleId="Style13">
    <w:name w:val="Маркеры"/>
    <w:qFormat/>
    <w:rPr>
      <w:rFonts w:ascii="OpenSymbol" w:hAnsi="OpenSymbol" w:eastAsia="OpenSymbol" w:cs="OpenSymbol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cc40c0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LibreOffice/7.3.5.2$Windows_X86_64 LibreOffice_project/184fe81b8c8c30d8b5082578aee2fed2ea847c01</Application>
  <AppVersion>15.0000</AppVersion>
  <Pages>2</Pages>
  <Words>231</Words>
  <Characters>1655</Characters>
  <CharactersWithSpaces>1866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2024-06-25T12:21:00Z</dcterms:created>
  <dc:creator>Наталья Справочное бюро</dc:creator>
  <dc:description/>
  <dc:language>ru-RU</dc:language>
  <cp:lastModifiedBy/>
  <dcterms:modified xsi:type="dcterms:W3CDTF">2026-09-25T15:30:46Z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