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"/>
        <w:spacing w:before="20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>«</w:t>
      </w:r>
      <w:r>
        <w:rPr>
          <w:rFonts w:ascii="Times New Roman" w:hAnsi="Times New Roman"/>
          <w:sz w:val="36"/>
          <w:szCs w:val="36"/>
          <w:lang w:val="ru-RU"/>
        </w:rPr>
        <w:t xml:space="preserve">Рыбий жир </w:t>
      </w:r>
      <w:r>
        <w:rPr>
          <w:rFonts w:ascii="Times New Roman" w:hAnsi="Times New Roman"/>
          <w:sz w:val="36"/>
          <w:szCs w:val="36"/>
          <w:lang w:val="en-US"/>
        </w:rPr>
        <w:t xml:space="preserve">Lysi </w:t>
      </w:r>
      <w:r>
        <w:rPr>
          <w:rFonts w:ascii="Times New Roman" w:hAnsi="Times New Roman"/>
          <w:sz w:val="36"/>
          <w:szCs w:val="36"/>
          <w:lang w:val="ru-RU"/>
        </w:rPr>
        <w:t>со вкусом лимона - мяты 240мл».</w:t>
      </w:r>
    </w:p>
    <w:p>
      <w:pPr>
        <w:pStyle w:val="Style15"/>
        <w:spacing w:before="200" w:after="12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Биологически активная добавка к пище. Не является лекарственным средством.</w:t>
      </w:r>
    </w:p>
    <w:p>
      <w:pPr>
        <w:pStyle w:val="Style15"/>
        <w:spacing w:before="200" w:after="120"/>
        <w:jc w:val="left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Состав: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жир печени трески, токоферола ацетат, ретинола пальмитат, холекальциферол, смесь токоферолов Е306 (антиокислитель), натуральный ароматизатор лимон - мята). </w:t>
      </w:r>
    </w:p>
    <w:p>
      <w:pPr>
        <w:pStyle w:val="Style15"/>
        <w:spacing w:before="200" w:after="120"/>
        <w:jc w:val="left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Область применения: </w:t>
      </w:r>
      <w:r>
        <w:rPr>
          <w:rFonts w:ascii="Times New Roman" w:hAnsi="Times New Roman"/>
          <w:b w:val="false"/>
          <w:bCs w:val="false"/>
          <w:sz w:val="28"/>
          <w:szCs w:val="28"/>
        </w:rPr>
        <w:t>в качестве биологически активной добавки к пище — дополнительного источника полинасыщенных жирных кислот Омега - 3, в том числе эйкозапентаеновой и докозагексаеновой кислот, витаминов А, Д, Е.</w:t>
      </w:r>
    </w:p>
    <w:p>
      <w:pPr>
        <w:pStyle w:val="Style15"/>
        <w:spacing w:before="200" w:after="120"/>
        <w:jc w:val="left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Рекомендации по применению: </w:t>
      </w:r>
      <w:r>
        <w:rPr>
          <w:rFonts w:ascii="Times New Roman" w:hAnsi="Times New Roman"/>
          <w:b w:val="false"/>
          <w:bCs w:val="false"/>
          <w:sz w:val="28"/>
          <w:szCs w:val="28"/>
        </w:rPr>
        <w:t>взрослым по 1 чайной ложке  (5мл)  1-2 раза в день во время еды.</w:t>
      </w:r>
    </w:p>
    <w:p>
      <w:pPr>
        <w:pStyle w:val="Style15"/>
        <w:spacing w:before="200" w:after="120"/>
        <w:jc w:val="left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Продолжительность приема 2 месяца. При необходимости прием можно повторить. Перед применением рекомендуется проконсультироваться с врачом.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Беременным и кормящим принимать по рекомендации и под наблюдением врача. </w:t>
      </w:r>
    </w:p>
    <w:p>
      <w:pPr>
        <w:pStyle w:val="Style15"/>
        <w:spacing w:before="200" w:after="120"/>
        <w:jc w:val="left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Противопоказания: </w:t>
      </w:r>
      <w:r>
        <w:rPr>
          <w:rFonts w:ascii="Times New Roman" w:hAnsi="Times New Roman"/>
          <w:b w:val="false"/>
          <w:bCs w:val="false"/>
          <w:sz w:val="28"/>
          <w:szCs w:val="28"/>
        </w:rPr>
        <w:t>индивидуальная непереносимость компонентов.</w:t>
      </w:r>
    </w:p>
    <w:p>
      <w:pPr>
        <w:pStyle w:val="Style15"/>
        <w:spacing w:before="200" w:after="120"/>
        <w:jc w:val="left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Условия хранения: </w:t>
      </w:r>
      <w:r>
        <w:rPr>
          <w:rFonts w:ascii="Times New Roman" w:hAnsi="Times New Roman"/>
          <w:b w:val="false"/>
          <w:bCs w:val="false"/>
          <w:sz w:val="28"/>
          <w:szCs w:val="28"/>
        </w:rPr>
        <w:t>в сухом, защищенном от прямых солнечных лучей, недоступном для детей месте при температуре не выше 25</w:t>
      </w:r>
      <w:r>
        <w:rPr>
          <w:rFonts w:eastAsia="NSimSun" w:cs="Arial" w:ascii="Liberation Serif" w:hAnsi="Liberation Serif"/>
          <w:b w:val="false"/>
          <w:bCs w:val="false"/>
          <w:sz w:val="28"/>
          <w:szCs w:val="28"/>
        </w:rPr>
        <w:t>º</w:t>
      </w:r>
      <w:r>
        <w:rPr>
          <w:rFonts w:eastAsia="NSimSun" w:cs="Arial" w:ascii="Times New Roman" w:hAnsi="Times New Roman"/>
          <w:b w:val="false"/>
          <w:bCs w:val="false"/>
          <w:sz w:val="28"/>
          <w:szCs w:val="28"/>
        </w:rPr>
        <w:t xml:space="preserve">С. После вскрытия хранить в холодильнике не более 60 дней. </w:t>
      </w:r>
    </w:p>
    <w:p>
      <w:pPr>
        <w:pStyle w:val="Style15"/>
        <w:spacing w:before="200" w:after="120"/>
        <w:jc w:val="left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eastAsia="NSimSun" w:cs="Arial" w:ascii="Times New Roman" w:hAnsi="Times New Roman"/>
          <w:b/>
          <w:bCs/>
          <w:sz w:val="28"/>
          <w:szCs w:val="28"/>
        </w:rPr>
        <w:t xml:space="preserve">Срок годности: </w:t>
      </w:r>
      <w:r>
        <w:rPr>
          <w:rFonts w:eastAsia="NSimSun" w:cs="Arial" w:ascii="Times New Roman" w:hAnsi="Times New Roman"/>
          <w:b w:val="false"/>
          <w:bCs w:val="false"/>
          <w:sz w:val="28"/>
          <w:szCs w:val="28"/>
        </w:rPr>
        <w:t xml:space="preserve">3 года от даты изготовления. </w:t>
      </w:r>
    </w:p>
    <w:p>
      <w:pPr>
        <w:pStyle w:val="Style15"/>
        <w:spacing w:before="200" w:after="120"/>
        <w:jc w:val="left"/>
        <w:rPr>
          <w:rFonts w:ascii="Times New Roman" w:hAnsi="Times New Roman"/>
        </w:rPr>
      </w:pPr>
      <w:r>
        <w:rPr/>
      </w:r>
    </w:p>
    <w:p>
      <w:pPr>
        <w:pStyle w:val="Style15"/>
        <w:spacing w:before="200" w:after="120"/>
        <w:jc w:val="left"/>
        <w:rPr>
          <w:rFonts w:ascii="Times New Roman" w:hAnsi="Times New Roman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Style14"/>
    <w:next w:val="Style15"/>
    <w:qFormat/>
    <w:pPr>
      <w:spacing w:before="240" w:after="120"/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paragraph" w:styleId="2">
    <w:name w:val="Heading 2"/>
    <w:basedOn w:val="Style14"/>
    <w:next w:val="Style15"/>
    <w:qFormat/>
    <w:pPr>
      <w:spacing w:before="200" w:after="120"/>
      <w:outlineLvl w:val="1"/>
    </w:pPr>
    <w:rPr>
      <w:rFonts w:ascii="Liberation Serif" w:hAnsi="Liberation Serif" w:eastAsia="NSimSun" w:cs="Arial"/>
      <w:b/>
      <w:bCs/>
      <w:sz w:val="36"/>
      <w:szCs w:val="36"/>
    </w:rPr>
  </w:style>
  <w:style w:type="paragraph" w:styleId="5">
    <w:name w:val="Heading 5"/>
    <w:basedOn w:val="Style14"/>
    <w:next w:val="Style15"/>
    <w:qFormat/>
    <w:pPr>
      <w:spacing w:before="120" w:after="60"/>
      <w:outlineLvl w:val="4"/>
    </w:pPr>
    <w:rPr>
      <w:rFonts w:ascii="Liberation Serif" w:hAnsi="Liberation Serif" w:eastAsia="NSimSun" w:cs="Arial"/>
      <w:b/>
      <w:bCs/>
      <w:sz w:val="20"/>
      <w:szCs w:val="20"/>
    </w:rPr>
  </w:style>
  <w:style w:type="character" w:styleId="Style11">
    <w:name w:val="Выделение жирным"/>
    <w:qFormat/>
    <w:rPr>
      <w:b/>
      <w:bCs/>
    </w:rPr>
  </w:style>
  <w:style w:type="character" w:styleId="Style12">
    <w:name w:val="Маркеры"/>
    <w:qFormat/>
    <w:rPr>
      <w:rFonts w:ascii="OpenSymbol" w:hAnsi="OpenSymbol" w:eastAsia="OpenSymbol" w:cs="OpenSymbol"/>
    </w:rPr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1066</TotalTime>
  <Application>LibreOffice/7.3.5.2$Windows_X86_64 LibreOffice_project/184fe81b8c8c30d8b5082578aee2fed2ea847c01</Application>
  <AppVersion>15.0000</AppVersion>
  <Pages>1</Pages>
  <Words>143</Words>
  <Characters>944</Characters>
  <CharactersWithSpaces>1085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2025-11-27T16:26:35Z</dcterms:created>
  <dc:creator/>
  <dc:description/>
  <dc:language>ru-RU</dc:language>
  <cp:lastModifiedBy/>
  <dcterms:modified xsi:type="dcterms:W3CDTF">2026-07-22T16:41:19Z</dcterms:modified>
  <cp:revision>184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