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numPr>
          <w:ilvl w:val="0"/>
          <w:numId w:val="0"/>
        </w:numPr>
        <w:spacing w:lineRule="auto" w:line="240" w:beforeAutospacing="1" w:after="0"/>
        <w:ind w:left="0" w:hanging="0"/>
        <w:jc w:val="center"/>
        <w:rPr>
          <w:rFonts w:ascii="Times New Roman" w:hAnsi="Times New Roman" w:eastAsia="Times New Roman" w:cs="Times New Roman"/>
          <w:b/>
          <w:b/>
          <w:bCs/>
          <w:kern w:val="2"/>
          <w:sz w:val="32"/>
          <w:szCs w:val="32"/>
          <w:lang w:eastAsia="ru-RU"/>
          <w14:ligatures w14:val="none"/>
        </w:rPr>
      </w:pPr>
      <w:r>
        <w:rPr>
          <w:rFonts w:eastAsia="Times New Roman" w:cs="Times New Roman"/>
          <w:b/>
          <w:bCs/>
          <w:kern w:val="0"/>
          <w:sz w:val="32"/>
          <w:szCs w:val="32"/>
          <w:lang w:eastAsia="ru-RU"/>
          <w14:ligatures w14:val="none"/>
        </w:rPr>
        <w:t>В</w:t>
      </w:r>
      <w:r>
        <w:rPr>
          <w:rFonts w:eastAsia="Times New Roman" w:cs="Times New Roman"/>
          <w:sz w:val="32"/>
          <w:szCs w:val="32"/>
          <w:lang w:eastAsia="ru-RU"/>
        </w:rPr>
        <w:t>итаминный комплекс A-Zn таблетки п/о БАД 743мг №60</w:t>
      </w:r>
    </w:p>
    <w:p>
      <w:pPr>
        <w:pStyle w:val="Style14"/>
        <w:spacing w:lineRule="auto" w:line="240" w:before="0" w:after="0"/>
        <w:jc w:val="center"/>
        <w:rPr>
          <w:rFonts w:ascii="Times New Roman" w:hAnsi="Times New Roman" w:eastAsia="Times New Roman" w:cs="Times New Roman"/>
          <w:b/>
          <w:b/>
          <w:bCs/>
          <w:sz w:val="32"/>
          <w:szCs w:val="32"/>
          <w:lang w:eastAsia="ru-RU"/>
        </w:rPr>
      </w:pPr>
      <w:r>
        <w:rPr>
          <w:rFonts w:eastAsia="Times New Roman" w:cs="Times New Roman" w:ascii="Times New Roman" w:hAnsi="Times New Roman"/>
          <w:b/>
          <w:bCs/>
          <w:sz w:val="32"/>
          <w:szCs w:val="32"/>
          <w:lang w:eastAsia="ru-RU"/>
        </w:rPr>
      </w:r>
    </w:p>
    <w:p>
      <w:pPr>
        <w:pStyle w:val="Style14"/>
        <w:spacing w:lineRule="auto" w:line="240" w:before="0" w:after="0"/>
        <w:rPr>
          <w:rFonts w:ascii="Times New Roman" w:hAnsi="Times New Roman" w:eastAsia="Times New Roman" w:cs="Times New Roman"/>
          <w:b/>
          <w:b/>
          <w:bCs/>
          <w:kern w:val="2"/>
          <w:sz w:val="32"/>
          <w:szCs w:val="32"/>
          <w:lang w:eastAsia="ru-RU"/>
          <w14:ligatures w14:val="none"/>
        </w:rPr>
      </w:pPr>
      <w:r>
        <w:rPr>
          <w:rFonts w:ascii="Times New Roman" w:hAnsi="Times New Roman"/>
          <w:b/>
          <w:bCs/>
          <w:sz w:val="28"/>
          <w:szCs w:val="28"/>
        </w:rPr>
        <w:t>Рекомендуется</w:t>
      </w:r>
      <w:r>
        <w:rPr>
          <w:rFonts w:ascii="Times New Roman" w:hAnsi="Times New Roman"/>
          <w:sz w:val="28"/>
          <w:szCs w:val="28"/>
        </w:rPr>
        <w:t xml:space="preserve"> в качестве биологически активной добавки к пище - дополнительного источника витаминов А, С, D3, Е, группы В (В1, В2, В3 (РР), В6, В12, биотина, пантотеновой и фолиевой кислот) и минеральных веществ (кальция, фосфора, магния, цинка, железа, марганца, меди, селена, хрома, йода), источника рутина.</w:t>
      </w:r>
    </w:p>
    <w:p>
      <w:pPr>
        <w:pStyle w:val="Style14"/>
        <w:spacing w:lineRule="auto" w:line="240" w:before="0" w:after="0"/>
        <w:rPr>
          <w:rFonts w:ascii="Times New Roman" w:hAnsi="Times New Roman" w:eastAsia="Times New Roman" w:cs="Times New Roman"/>
          <w:b/>
          <w:b/>
          <w:bCs/>
          <w:kern w:val="2"/>
          <w:sz w:val="32"/>
          <w:szCs w:val="32"/>
          <w:lang w:eastAsia="ru-RU"/>
          <w14:ligatures w14:val="none"/>
        </w:rPr>
      </w:pPr>
      <w:r>
        <w:rPr/>
      </w:r>
    </w:p>
    <w:p>
      <w:pPr>
        <w:pStyle w:val="Style14"/>
        <w:spacing w:lineRule="auto" w:line="240" w:before="0" w:after="0"/>
        <w:rPr>
          <w:rFonts w:ascii="Times New Roman" w:hAnsi="Times New Roman"/>
          <w:sz w:val="28"/>
          <w:szCs w:val="28"/>
        </w:rPr>
      </w:pPr>
      <w:r>
        <w:rPr>
          <w:rFonts w:ascii="Times New Roman" w:hAnsi="Times New Roman"/>
          <w:b/>
          <w:bCs/>
          <w:sz w:val="28"/>
          <w:szCs w:val="28"/>
        </w:rPr>
        <w:t xml:space="preserve">Состав: </w:t>
      </w:r>
      <w:r>
        <w:rPr>
          <w:rFonts w:ascii="Times New Roman" w:hAnsi="Times New Roman"/>
          <w:sz w:val="28"/>
          <w:szCs w:val="28"/>
        </w:rPr>
        <w:t>кальция гидрофосфат, магния цитрат, аскорбиновая кислота (витамин С), цинка цитрат, рутин (витамин Р), DL-альфа-токоферолa ацетат (витамин Е), селенометионин, железа фумарат, поливинилпирролидон (стабилизатор), марганца глюконат, ретинола ацетат (витамин А), никотинамид (витамин РР или В3), магния стеарат (агент антислеживающий), D-пантотенат кальция (витамин В5, или пантотеновая кислота), цианокобаламин (витамин В12), пиридоксина гидрохлорид (витамин В6), меди цитрат, рибофлавин (витамин В2), тиамина гидрохлорид (витамин В1), холекальциферол (витамин D3), хрома пиколинат, фолиевая кислота (витамин В9), калия йодид, биотин (витамин В7), оболочка таблетки: гидроксипропилметилцеллюлоза (загуститель), полиэтиленгликоль (стабилизатор), диоксид титана (краситель), оксид железа желтый (краситель), оксид железа черный (краситель).</w:t>
      </w:r>
    </w:p>
    <w:p>
      <w:pPr>
        <w:pStyle w:val="Normal"/>
        <w:numPr>
          <w:ilvl w:val="0"/>
          <w:numId w:val="0"/>
        </w:numPr>
        <w:spacing w:lineRule="auto" w:line="240" w:beforeAutospacing="1" w:afterAutospacing="1"/>
        <w:ind w:left="0" w:hanging="0"/>
        <w:jc w:val="left"/>
        <w:rPr/>
      </w:pPr>
      <w:r>
        <w:rPr>
          <w:rFonts w:ascii="Times New Roman" w:hAnsi="Times New Roman"/>
          <w:b/>
          <w:bCs/>
          <w:sz w:val="28"/>
          <w:szCs w:val="28"/>
        </w:rPr>
        <w:t xml:space="preserve">Рекомендации по применению: </w:t>
      </w:r>
      <w:r>
        <w:rPr/>
        <w:br/>
      </w:r>
      <w:r>
        <w:rPr>
          <w:rFonts w:ascii="Times New Roman" w:hAnsi="Times New Roman"/>
          <w:sz w:val="28"/>
          <w:szCs w:val="28"/>
        </w:rPr>
        <w:t xml:space="preserve">по 1 таблетке </w:t>
      </w:r>
      <w:r>
        <w:rPr>
          <w:rFonts w:ascii="Times New Roman" w:hAnsi="Times New Roman"/>
          <w:sz w:val="28"/>
          <w:szCs w:val="28"/>
        </w:rPr>
        <w:t>2</w:t>
      </w:r>
      <w:r>
        <w:rPr>
          <w:rFonts w:ascii="Times New Roman" w:hAnsi="Times New Roman"/>
          <w:sz w:val="28"/>
          <w:szCs w:val="28"/>
        </w:rPr>
        <w:t xml:space="preserve"> раз</w:t>
      </w:r>
      <w:r>
        <w:rPr>
          <w:rFonts w:ascii="Times New Roman" w:hAnsi="Times New Roman"/>
          <w:sz w:val="28"/>
          <w:szCs w:val="28"/>
        </w:rPr>
        <w:t>а</w:t>
      </w:r>
      <w:r>
        <w:rPr>
          <w:rFonts w:ascii="Times New Roman" w:hAnsi="Times New Roman"/>
          <w:sz w:val="28"/>
          <w:szCs w:val="28"/>
        </w:rPr>
        <w:t xml:space="preserve"> в день во время еды. Продолжительность приема – 1 месяц. При необходимости прием можно повторить.</w:t>
      </w:r>
      <w:r>
        <w:rPr/>
        <w:br/>
        <w:br/>
      </w:r>
      <w:r>
        <w:rPr>
          <w:rFonts w:ascii="Times New Roman" w:hAnsi="Times New Roman"/>
          <w:b/>
          <w:bCs/>
          <w:sz w:val="28"/>
          <w:szCs w:val="28"/>
        </w:rPr>
        <w:t xml:space="preserve">Противопоказания: </w:t>
      </w:r>
      <w:r>
        <w:rPr/>
        <w:br/>
      </w:r>
      <w:r>
        <w:rPr>
          <w:rFonts w:ascii="Times New Roman" w:hAnsi="Times New Roman"/>
          <w:sz w:val="28"/>
          <w:szCs w:val="28"/>
        </w:rPr>
        <w:t>индивидуальная непереносимость компонентов, беременность, кормление грудью. Перед применением рекомендуется проконсультироваться с врачом.</w:t>
      </w:r>
      <w:r>
        <w:rPr/>
        <w:br/>
        <w:br/>
      </w:r>
      <w:r>
        <w:rPr>
          <w:rFonts w:ascii="Times New Roman" w:hAnsi="Times New Roman"/>
          <w:b/>
          <w:bCs/>
          <w:sz w:val="28"/>
          <w:szCs w:val="28"/>
        </w:rPr>
        <w:t xml:space="preserve">Условия хранения: </w:t>
      </w:r>
      <w:r>
        <w:rPr/>
        <w:br/>
      </w:r>
      <w:r>
        <w:rPr>
          <w:rFonts w:ascii="Times New Roman" w:hAnsi="Times New Roman"/>
          <w:sz w:val="28"/>
          <w:szCs w:val="28"/>
        </w:rPr>
        <w:t xml:space="preserve">Хранить </w:t>
      </w:r>
      <w:r>
        <w:rPr>
          <w:rFonts w:ascii="Times New Roman" w:hAnsi="Times New Roman"/>
          <w:sz w:val="28"/>
          <w:szCs w:val="28"/>
        </w:rPr>
        <w:t xml:space="preserve">в сухом, защищенном от света, </w:t>
      </w:r>
      <w:r>
        <w:rPr>
          <w:rFonts w:ascii="Times New Roman" w:hAnsi="Times New Roman"/>
          <w:sz w:val="28"/>
          <w:szCs w:val="28"/>
        </w:rPr>
        <w:t xml:space="preserve">недоступном для детей месте, при температуре не выше 25̊С. </w:t>
      </w:r>
    </w:p>
    <w:p>
      <w:pPr>
        <w:pStyle w:val="Normal"/>
        <w:numPr>
          <w:ilvl w:val="0"/>
          <w:numId w:val="0"/>
        </w:numPr>
        <w:spacing w:lineRule="auto" w:line="240" w:beforeAutospacing="1" w:afterAutospacing="1"/>
        <w:ind w:left="0" w:hanging="0"/>
        <w:jc w:val="left"/>
        <w:rPr>
          <w:rFonts w:ascii="Times New Roman" w:hAnsi="Times New Roman"/>
          <w:sz w:val="28"/>
          <w:szCs w:val="28"/>
        </w:rPr>
      </w:pPr>
      <w:r>
        <w:rPr/>
      </w:r>
    </w:p>
    <w:p>
      <w:pPr>
        <w:pStyle w:val="Normal"/>
        <w:numPr>
          <w:ilvl w:val="0"/>
          <w:numId w:val="0"/>
        </w:numPr>
        <w:spacing w:lineRule="auto" w:line="240" w:beforeAutospacing="1" w:afterAutospacing="1"/>
        <w:ind w:left="0" w:hanging="0"/>
        <w:jc w:val="left"/>
        <w:rPr>
          <w:rFonts w:ascii="Times New Roman" w:hAnsi="Times New Roman"/>
          <w:sz w:val="28"/>
          <w:szCs w:val="28"/>
        </w:rPr>
      </w:pPr>
      <w:r>
        <w:rPr/>
      </w:r>
    </w:p>
    <w:p>
      <w:pPr>
        <w:pStyle w:val="Normal"/>
        <w:numPr>
          <w:ilvl w:val="0"/>
          <w:numId w:val="0"/>
        </w:numPr>
        <w:spacing w:lineRule="auto" w:line="240" w:beforeAutospacing="1" w:afterAutospacing="1"/>
        <w:ind w:left="0" w:hanging="0"/>
        <w:jc w:val="left"/>
        <w:rPr>
          <w:rFonts w:ascii="Times New Roman" w:hAnsi="Times New Roman"/>
          <w:sz w:val="28"/>
          <w:szCs w:val="28"/>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ru-RU"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ru-RU" w:eastAsia="en-US" w:bidi="ar-SA"/>
      <w14:ligatures w14:val="standardContextual"/>
    </w:rPr>
  </w:style>
  <w:style w:type="paragraph" w:styleId="1">
    <w:name w:val="Heading 1"/>
    <w:basedOn w:val="Normal"/>
    <w:link w:val="11"/>
    <w:uiPriority w:val="9"/>
    <w:qFormat/>
    <w:rsid w:val="00517c6d"/>
    <w:pPr>
      <w:spacing w:lineRule="auto" w:line="240" w:beforeAutospacing="1" w:afterAutospacing="1"/>
      <w:outlineLvl w:val="0"/>
    </w:pPr>
    <w:rPr>
      <w:rFonts w:ascii="Times New Roman" w:hAnsi="Times New Roman" w:eastAsia="Times New Roman" w:cs="Times New Roman"/>
      <w:b/>
      <w:bCs/>
      <w:kern w:val="2"/>
      <w:sz w:val="48"/>
      <w:szCs w:val="48"/>
      <w:lang w:eastAsia="ru-RU"/>
      <w14:ligatures w14:val="none"/>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
    <w:qFormat/>
    <w:rsid w:val="00517c6d"/>
    <w:rPr>
      <w:rFonts w:ascii="Times New Roman" w:hAnsi="Times New Roman" w:eastAsia="Times New Roman" w:cs="Times New Roman"/>
      <w:b/>
      <w:bCs/>
      <w:kern w:val="2"/>
      <w:sz w:val="48"/>
      <w:szCs w:val="48"/>
      <w:lang w:eastAsia="ru-RU"/>
      <w14:ligatures w14:val="none"/>
    </w:rPr>
  </w:style>
  <w:style w:type="character" w:styleId="Title" w:customStyle="1">
    <w:name w:val="title"/>
    <w:basedOn w:val="DefaultParagraphFont"/>
    <w:qFormat/>
    <w:rsid w:val="00e5306b"/>
    <w:rPr/>
  </w:style>
  <w:style w:type="character" w:styleId="Strong">
    <w:name w:val="Strong"/>
    <w:basedOn w:val="DefaultParagraphFont"/>
    <w:uiPriority w:val="22"/>
    <w:qFormat/>
    <w:rsid w:val="00e5306b"/>
    <w:rPr>
      <w:b/>
      <w:bCs/>
    </w:rPr>
  </w:style>
  <w:style w:type="paragraph" w:styleId="Style13">
    <w:name w:val="Заголовок"/>
    <w:basedOn w:val="Normal"/>
    <w:next w:val="Style14"/>
    <w:qFormat/>
    <w:pPr>
      <w:keepNext w:val="true"/>
      <w:spacing w:before="240" w:after="120"/>
    </w:pPr>
    <w:rPr>
      <w:rFonts w:ascii="Liberation Sans" w:hAnsi="Liberation Sans" w:eastAsia="Microsoft YaHei" w:cs="Arial"/>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Arial"/>
    </w:rPr>
  </w:style>
  <w:style w:type="paragraph" w:styleId="Style16">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lang w:val="zxx" w:eastAsia="zxx" w:bidi="zxx"/>
    </w:rPr>
  </w:style>
  <w:style w:type="paragraph" w:styleId="NormalWeb">
    <w:name w:val="Normal (Web)"/>
    <w:basedOn w:val="Normal"/>
    <w:uiPriority w:val="99"/>
    <w:semiHidden/>
    <w:unhideWhenUsed/>
    <w:qFormat/>
    <w:rsid w:val="00e5306b"/>
    <w:pPr>
      <w:spacing w:lineRule="auto" w:line="240" w:beforeAutospacing="1" w:afterAutospacing="1"/>
    </w:pPr>
    <w:rPr>
      <w:rFonts w:ascii="Times New Roman" w:hAnsi="Times New Roman" w:eastAsia="Times New Roman" w:cs="Times New Roman"/>
      <w:kern w:val="0"/>
      <w:sz w:val="24"/>
      <w:szCs w:val="24"/>
      <w:lang w:eastAsia="ru-RU"/>
      <w14:ligatures w14:val="none"/>
    </w:rPr>
  </w:style>
  <w:style w:type="paragraph" w:styleId="Style18">
    <w:name w:val="Содержимое таблицы"/>
    <w:basedOn w:val="Normal"/>
    <w:qFormat/>
    <w:pPr>
      <w:widowControl w:val="false"/>
      <w:suppressLineNumbers/>
    </w:pPr>
    <w:rPr/>
  </w:style>
  <w:style w:type="paragraph" w:styleId="Style19">
    <w:name w:val="Заголовок таблицы"/>
    <w:basedOn w:val="Style18"/>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Application>LibreOffice/7.3.5.2$Windows_X86_64 LibreOffice_project/184fe81b8c8c30d8b5082578aee2fed2ea847c01</Application>
  <AppVersion>15.0000</AppVersion>
  <Pages>1</Pages>
  <Words>196</Words>
  <Characters>1427</Characters>
  <CharactersWithSpaces>1626</CharactersWithSpaces>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Справочное бюро</dc:creator>
  <dc:description/>
  <dc:language>ru-RU</dc:language>
  <cp:lastModifiedBy/>
  <dcterms:modified xsi:type="dcterms:W3CDTF">2026-09-01T13:58:05Z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file>