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1"/>
        <w:spacing w:before="0" w:after="160"/>
        <w:jc w:val="center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«</w:t>
      </w:r>
      <w:r>
        <w:rPr>
          <w:rFonts w:ascii="Times New Roman" w:hAnsi="Times New Roman"/>
          <w:b/>
          <w:bCs/>
          <w:sz w:val="32"/>
          <w:szCs w:val="32"/>
        </w:rPr>
        <w:t xml:space="preserve">МАКСЛЕР </w:t>
      </w:r>
      <w:r>
        <w:rPr>
          <w:rFonts w:eastAsia="Segoe UI" w:cs="Tahoma" w:ascii="Times New Roman" w:hAnsi="Times New Roman"/>
          <w:b/>
          <w:bCs/>
          <w:sz w:val="32"/>
          <w:szCs w:val="32"/>
        </w:rPr>
        <w:t>"</w:t>
      </w:r>
      <w:r>
        <w:rPr>
          <w:rFonts w:eastAsia="Segoe UI" w:cs="Tahoma" w:ascii="Times New Roman" w:hAnsi="Times New Roman"/>
          <w:b/>
          <w:bCs/>
          <w:sz w:val="32"/>
          <w:szCs w:val="32"/>
        </w:rPr>
        <w:t>Цинк Пиколинат 25мг</w:t>
      </w:r>
      <w:r>
        <w:rPr>
          <w:rFonts w:eastAsia="Segoe UI" w:cs="Tahoma" w:ascii="Times New Roman" w:hAnsi="Times New Roman"/>
          <w:b/>
          <w:bCs/>
          <w:sz w:val="32"/>
          <w:szCs w:val="32"/>
        </w:rPr>
        <w:t>"</w:t>
      </w:r>
      <w:r>
        <w:rPr>
          <w:rFonts w:eastAsia="Segoe UI" w:cs="Tahoma" w:ascii="Times New Roman" w:hAnsi="Times New Roman"/>
          <w:b/>
          <w:bCs/>
          <w:sz w:val="32"/>
          <w:szCs w:val="32"/>
        </w:rPr>
        <w:t>капсулы 0,25мг упаковка №120».</w:t>
      </w:r>
      <w:r>
        <w:rPr>
          <w:b/>
          <w:bCs/>
          <w:sz w:val="32"/>
          <w:szCs w:val="32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</w:p>
    <w:p>
      <w:pPr>
        <w:sectPr>
          <w:type w:val="nextPage"/>
          <w:pgSz w:w="11906" w:h="16838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360" w:charSpace="8192"/>
        </w:sectPr>
      </w:pPr>
    </w:p>
    <w:p>
      <w:pPr>
        <w:pStyle w:val="Style15"/>
        <w:rPr/>
      </w:pPr>
      <w:r>
        <w:rPr>
          <w:b/>
          <w:bCs/>
        </w:rPr>
        <w:t>Цинк</w:t>
      </w:r>
      <w:r>
        <w:rPr/>
        <w:t xml:space="preserve"> является важнейшим микроэлементом, необходимым для комплексной поддержки организма, в особенности иммунной системы. Он обладает ранозаживляющими и антибактериальными свойствами, благодаря чему эффективно поддерживает здоровье кожи. Соединения цинка не синтезируются организмом, поэтому важно регулярно получать его извне. Им богаты многие продукты, однако наш организм усваивает лишь около 20-30% цинка, получаемого из пищи. Поэтому даже обогащенная цинком диета не способна полностью удовлетворить потребность в минерале, которая возрастает при стрессах и нагрузках.</w:t>
      </w:r>
    </w:p>
    <w:p>
      <w:pPr>
        <w:pStyle w:val="Style15"/>
        <w:rPr/>
      </w:pPr>
      <w:r>
        <w:rPr/>
        <w:t>Существует множество форм цинка, используемых в качестве добавок. Наиболее эффективно усваивается цинк в виде пиколината.</w:t>
        <w:br/>
      </w:r>
      <w:r>
        <w:rPr>
          <w:b/>
          <w:bCs/>
        </w:rPr>
        <w:t>Maxler разработал Zinc Picolinate 50 mg</w:t>
      </w:r>
      <w:r>
        <w:rPr/>
        <w:t xml:space="preserve"> – высококачественную добавку, которая поможет быстро восполнить нехватку цинка в организме. Новая формула станет отличным дополнением к сбалансированной диете и окажет неоценимую поддержку всему организму.</w:t>
        <w:br/>
        <w:t>Польза:</w:t>
      </w:r>
    </w:p>
    <w:p>
      <w:pPr>
        <w:pStyle w:val="Style15"/>
        <w:rPr/>
      </w:pPr>
      <w:r>
        <w:rPr>
          <w:b/>
        </w:rPr>
        <w:t>1. Цинк необходим для поддержания здоровой иммунной системы.</w:t>
      </w:r>
      <w:r>
        <w:rPr/>
        <w:br/>
        <w:t>Благодаря своим антиоксидантным свойствам цинк играет важную роль в укреплении и поддержании иммунной системы. Прием добавок с цинком увеличивает количество защитных антител, стимулирует выработку лимфоцитов и оказывает противомикробное действие, что существенно повышает сопротивляемость организма вирусам и инфекциям. При этом цинк эффективен не только для профилактики, но и для облегчения симптомов простудных заболеваний. Он улучшает общее самочувствие и ускоряет выздоровление.</w:t>
      </w:r>
    </w:p>
    <w:p>
      <w:pPr>
        <w:pStyle w:val="Style15"/>
        <w:rPr/>
      </w:pPr>
      <w:r>
        <w:rPr>
          <w:b/>
        </w:rPr>
        <w:t>2. Цинк заметно улучшает общее состояние кожи.</w:t>
      </w:r>
      <w:r>
        <w:rPr/>
        <w:br/>
        <w:t>Цинк регулирует деятельность сальных желез, активно участвует в регенерации кожи и способствует скорейшему заживлению ран. Также необходимое содержание цинка в организме препятствует образованию угревой сыпи и развитию воспалительных процессов. 3. Цинк нормализует метаболизм и участвует в синтезе важных гормонов. Цинк входит в состав более 300 ферментов, участвующих в метаболизме белков, жиров и углеводов и выработке ряда ключевых гормонов. Также он отвечает за синтез инсулина и регулирует уровень сахара в крови, что снижает риск развития диабета. Цинк способствует выработке важнейших пищеварительных ферментов, благодаря чему облегчает усвоение пищи организмом и поддерживает здоровье поджелудочной железы.</w:t>
      </w:r>
    </w:p>
    <w:p>
      <w:pPr>
        <w:pStyle w:val="Style15"/>
        <w:rPr/>
      </w:pPr>
      <w:r>
        <w:rPr>
          <w:b/>
        </w:rPr>
        <w:t xml:space="preserve">Рекомендации по применению: </w:t>
      </w:r>
      <w:r>
        <w:rPr/>
        <w:t>Принимайте Zinc Picolinate 50 mg от Maxler в качестве добавки по 1 таблетке в день, желательно во время еды. Рекомендуемая продолжительность курса составляет 30 дней. Сделайте Zinc Picolinate 50 mg от Maxler полезным дополнением к вашему рациону – и он станет надежным стражем вашего иммунитета!</w:t>
      </w:r>
    </w:p>
    <w:p>
      <w:pPr>
        <w:sectPr>
          <w:type w:val="continuous"/>
          <w:pgSz w:w="11906" w:h="16838"/>
          <w:pgMar w:left="1701" w:right="850" w:gutter="0" w:header="0" w:top="1134" w:footer="0" w:bottom="1134"/>
          <w:formProt w:val="false"/>
          <w:textDirection w:val="lrTb"/>
          <w:docGrid w:type="default" w:linePitch="360" w:charSpace="8192"/>
        </w:sectPr>
      </w:pPr>
    </w:p>
    <w:tbl>
      <w:tblPr>
        <w:tblW w:w="6328" w:type="dxa"/>
        <w:jc w:val="left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2325"/>
        <w:gridCol w:w="2240"/>
        <w:gridCol w:w="1763"/>
      </w:tblGrid>
      <w:tr>
        <w:trPr/>
        <w:tc>
          <w:tcPr>
            <w:tcW w:w="6328" w:type="dxa"/>
            <w:gridSpan w:val="3"/>
            <w:tcBorders/>
            <w:vAlign w:val="center"/>
          </w:tcPr>
          <w:p>
            <w:pPr>
              <w:pStyle w:val="Style23"/>
              <w:widowControl w:val="false"/>
              <w:suppressLineNumbers/>
              <w:spacing w:before="0" w:after="160"/>
              <w:rPr/>
            </w:pPr>
            <w:r>
              <w:rPr/>
              <w:br/>
            </w:r>
            <w:r>
              <w:rPr>
                <w:b/>
              </w:rPr>
              <w:t>Состав</w:t>
            </w:r>
            <w:r>
              <w:rPr/>
              <w:br/>
              <w:t>Размер порции: 1 таблетка</w:t>
              <w:br/>
              <w:t xml:space="preserve">Порций в упаковке: </w:t>
            </w:r>
            <w:r>
              <w:rPr/>
              <w:t>120</w:t>
            </w:r>
          </w:p>
        </w:tc>
      </w:tr>
      <w:tr>
        <w:trPr/>
        <w:tc>
          <w:tcPr>
            <w:tcW w:w="2325" w:type="dxa"/>
            <w:tcBorders/>
            <w:vAlign w:val="center"/>
          </w:tcPr>
          <w:p>
            <w:pPr>
              <w:pStyle w:val="Style23"/>
              <w:spacing w:before="0" w:after="16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240" w:type="dxa"/>
            <w:tcBorders/>
            <w:vAlign w:val="center"/>
          </w:tcPr>
          <w:p>
            <w:pPr>
              <w:pStyle w:val="Style23"/>
              <w:widowControl w:val="false"/>
              <w:suppressLineNumbers/>
              <w:spacing w:before="0" w:after="160"/>
              <w:rPr/>
            </w:pPr>
            <w:r>
              <w:rPr/>
              <w:t>Количество на порцию</w:t>
            </w:r>
          </w:p>
        </w:tc>
        <w:tc>
          <w:tcPr>
            <w:tcW w:w="1763" w:type="dxa"/>
            <w:tcBorders/>
            <w:vAlign w:val="center"/>
          </w:tcPr>
          <w:p>
            <w:pPr>
              <w:pStyle w:val="Style23"/>
              <w:widowControl w:val="false"/>
              <w:suppressLineNumbers/>
              <w:spacing w:before="0" w:after="160"/>
              <w:rPr/>
            </w:pPr>
            <w:r>
              <w:rPr/>
              <w:t>%Дневной дозы*</w:t>
            </w:r>
          </w:p>
        </w:tc>
      </w:tr>
      <w:tr>
        <w:trPr/>
        <w:tc>
          <w:tcPr>
            <w:tcW w:w="2325" w:type="dxa"/>
            <w:tcBorders/>
            <w:vAlign w:val="center"/>
          </w:tcPr>
          <w:p>
            <w:pPr>
              <w:pStyle w:val="Style23"/>
              <w:widowControl w:val="false"/>
              <w:suppressLineNumbers/>
              <w:spacing w:before="0" w:after="160"/>
              <w:rPr/>
            </w:pPr>
            <w:r>
              <w:rPr/>
              <w:t>Кальций</w:t>
            </w:r>
          </w:p>
        </w:tc>
        <w:tc>
          <w:tcPr>
            <w:tcW w:w="2240" w:type="dxa"/>
            <w:tcBorders/>
            <w:vAlign w:val="center"/>
          </w:tcPr>
          <w:p>
            <w:pPr>
              <w:pStyle w:val="Style23"/>
              <w:widowControl w:val="false"/>
              <w:suppressLineNumbers/>
              <w:spacing w:before="0" w:after="160"/>
              <w:rPr/>
            </w:pPr>
            <w:r>
              <w:rPr/>
              <w:t>30 мг</w:t>
            </w:r>
          </w:p>
        </w:tc>
        <w:tc>
          <w:tcPr>
            <w:tcW w:w="1763" w:type="dxa"/>
            <w:tcBorders/>
            <w:vAlign w:val="center"/>
          </w:tcPr>
          <w:p>
            <w:pPr>
              <w:pStyle w:val="Style23"/>
              <w:widowControl w:val="false"/>
              <w:suppressLineNumbers/>
              <w:spacing w:before="0" w:after="160"/>
              <w:rPr/>
            </w:pPr>
            <w:r>
              <w:rPr/>
              <w:t>2%</w:t>
            </w:r>
          </w:p>
        </w:tc>
      </w:tr>
      <w:tr>
        <w:trPr/>
        <w:tc>
          <w:tcPr>
            <w:tcW w:w="2325" w:type="dxa"/>
            <w:tcBorders/>
            <w:vAlign w:val="center"/>
          </w:tcPr>
          <w:p>
            <w:pPr>
              <w:pStyle w:val="Style23"/>
              <w:widowControl w:val="false"/>
              <w:suppressLineNumbers/>
              <w:spacing w:before="0" w:after="160"/>
              <w:rPr/>
            </w:pPr>
            <w:r>
              <w:rPr/>
              <w:t>Цинк (Цинк Пиколинат)</w:t>
            </w:r>
          </w:p>
        </w:tc>
        <w:tc>
          <w:tcPr>
            <w:tcW w:w="2240" w:type="dxa"/>
            <w:tcBorders/>
            <w:vAlign w:val="center"/>
          </w:tcPr>
          <w:p>
            <w:pPr>
              <w:pStyle w:val="Style23"/>
              <w:widowControl w:val="false"/>
              <w:suppressLineNumbers/>
              <w:spacing w:before="0" w:after="160"/>
              <w:rPr/>
            </w:pPr>
            <w:r>
              <w:rPr/>
              <w:t>50 мг</w:t>
            </w:r>
          </w:p>
        </w:tc>
        <w:tc>
          <w:tcPr>
            <w:tcW w:w="1763" w:type="dxa"/>
            <w:tcBorders/>
            <w:vAlign w:val="center"/>
          </w:tcPr>
          <w:p>
            <w:pPr>
              <w:pStyle w:val="Style23"/>
              <w:widowControl w:val="false"/>
              <w:suppressLineNumbers/>
              <w:spacing w:before="0" w:after="160"/>
              <w:rPr/>
            </w:pPr>
            <w:r>
              <w:rPr/>
              <w:t>455%</w:t>
            </w:r>
          </w:p>
        </w:tc>
      </w:tr>
    </w:tbl>
    <w:p>
      <w:pPr>
        <w:pStyle w:val="Style15"/>
        <w:rPr/>
      </w:pPr>
      <w:r>
        <w:rPr>
          <w:b/>
        </w:rPr>
        <w:t>Прочие ингредиенты::</w:t>
      </w:r>
      <w:r>
        <w:rPr/>
        <w:t> микрокристаллическая целлюлоза, стеариновая кислота, фосфат дикальция, покрытие (гипромеллоза, макрогол, гидроксипропилцеллюлоза), кроскарамеллоза натрия, стеарат магния, диоксид кремния.</w:t>
      </w:r>
    </w:p>
    <w:p>
      <w:pPr>
        <w:sectPr>
          <w:type w:val="continuous"/>
          <w:pgSz w:w="11906" w:h="16838"/>
          <w:pgMar w:left="1701" w:right="850" w:gutter="0" w:header="0" w:top="1134" w:footer="0" w:bottom="1134"/>
          <w:formProt w:val="false"/>
          <w:textDirection w:val="lrTb"/>
          <w:docGrid w:type="default" w:linePitch="360" w:charSpace="8192"/>
        </w:sectPr>
      </w:pPr>
    </w:p>
    <w:p>
      <w:pPr>
        <w:pStyle w:val="Normal"/>
        <w:numPr>
          <w:ilvl w:val="0"/>
          <w:numId w:val="0"/>
        </w:numPr>
        <w:spacing w:before="0" w:after="140"/>
        <w:ind w:left="0" w:hanging="0"/>
        <w:rPr/>
      </w:pPr>
      <w:r>
        <w:rPr/>
      </w:r>
    </w:p>
    <w:p>
      <w:pPr>
        <w:pStyle w:val="Style15"/>
        <w:numPr>
          <w:ilvl w:val="0"/>
          <w:numId w:val="0"/>
        </w:numPr>
        <w:spacing w:before="0" w:after="140"/>
        <w:ind w:left="0" w:hanging="0"/>
        <w:rPr>
          <w:rFonts w:ascii="Times New Roman" w:hAnsi="Times New Roman"/>
          <w:b/>
          <w:b/>
          <w:bCs/>
          <w:sz w:val="24"/>
          <w:szCs w:val="24"/>
          <w:lang w:val="ru-RU"/>
        </w:rPr>
      </w:pPr>
      <w:r>
        <w:rPr/>
      </w:r>
    </w:p>
    <w:sectPr>
      <w:type w:val="continuous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erif">
    <w:altName w:val="Times New Roman"/>
    <w:charset w:val="cc"/>
    <w:family w:val="swiss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roman"/>
    <w:pitch w:val="default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ru-RU" w:eastAsia="en-US" w:bidi="ar-SA"/>
      <w14:ligatures w14:val="standardContextual"/>
    </w:rPr>
  </w:style>
  <w:style w:type="paragraph" w:styleId="1">
    <w:name w:val="Heading 1"/>
    <w:basedOn w:val="Style19"/>
    <w:next w:val="Style15"/>
    <w:qFormat/>
    <w:pPr>
      <w:outlineLvl w:val="0"/>
    </w:pPr>
    <w:rPr>
      <w:rFonts w:ascii="Liberation Serif" w:hAnsi="Liberation Serif" w:eastAsia="Segoe UI" w:cs="Tahoma"/>
      <w:b/>
      <w:bCs/>
      <w:sz w:val="48"/>
      <w:szCs w:val="48"/>
    </w:rPr>
  </w:style>
  <w:style w:type="paragraph" w:styleId="2">
    <w:name w:val="Heading 2"/>
    <w:basedOn w:val="Style14"/>
    <w:next w:val="Style15"/>
    <w:qFormat/>
    <w:pPr>
      <w:numPr>
        <w:ilvl w:val="1"/>
        <w:numId w:val="1"/>
      </w:numPr>
      <w:spacing w:before="200" w:after="120"/>
      <w:outlineLvl w:val="1"/>
    </w:pPr>
    <w:rPr>
      <w:b/>
      <w:bCs/>
      <w:sz w:val="32"/>
      <w:szCs w:val="32"/>
    </w:rPr>
  </w:style>
  <w:style w:type="paragraph" w:styleId="4">
    <w:name w:val="Heading 4"/>
    <w:basedOn w:val="Style14"/>
    <w:next w:val="Style15"/>
    <w:qFormat/>
    <w:pPr>
      <w:spacing w:before="120" w:after="120"/>
      <w:outlineLvl w:val="3"/>
    </w:pPr>
    <w:rPr>
      <w:rFonts w:ascii="Liberation Serif" w:hAnsi="Liberation Serif" w:eastAsia="Segoe UI" w:cs="Tahoma"/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1">
    <w:name w:val="Символ нумерации"/>
    <w:qFormat/>
    <w:rPr/>
  </w:style>
  <w:style w:type="character" w:styleId="Style12">
    <w:name w:val="Маркеры"/>
    <w:qFormat/>
    <w:rPr>
      <w:rFonts w:ascii="OpenSymbol" w:hAnsi="OpenSymbol" w:eastAsia="OpenSymbol" w:cs="OpenSymbol"/>
    </w:rPr>
  </w:style>
  <w:style w:type="character" w:styleId="Style13">
    <w:name w:val="Выделение жирным"/>
    <w:qFormat/>
    <w:rPr>
      <w:b/>
      <w:bCs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Style19">
    <w:name w:val="Title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Arial"/>
    </w:rPr>
  </w:style>
  <w:style w:type="paragraph" w:styleId="Style20" w:customStyle="1">
    <w:name w:val="Колонтитул"/>
    <w:basedOn w:val="Normal"/>
    <w:qFormat/>
    <w:pPr>
      <w:suppressLineNumbers/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1" w:customStyle="1">
    <w:name w:val="Верхний и нижний колонтитулы"/>
    <w:basedOn w:val="Normal"/>
    <w:qFormat/>
    <w:pPr/>
    <w:rPr/>
  </w:style>
  <w:style w:type="paragraph" w:styleId="Style22">
    <w:name w:val="Header"/>
    <w:basedOn w:val="Style20"/>
    <w:pPr/>
    <w:rPr/>
  </w:style>
  <w:style w:type="paragraph" w:styleId="Style23">
    <w:name w:val="Содержимое таблицы"/>
    <w:basedOn w:val="Normal"/>
    <w:qFormat/>
    <w:pPr>
      <w:widowControl w:val="false"/>
      <w:suppressLineNumbers/>
    </w:pPr>
    <w:rPr/>
  </w:style>
  <w:style w:type="paragraph" w:styleId="Style24">
    <w:name w:val="Заголовок таблицы"/>
    <w:basedOn w:val="Style23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3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Application>LibreOffice/7.3.5.2$Windows_X86_64 LibreOffice_project/184fe81b8c8c30d8b5082578aee2fed2ea847c01</Application>
  <AppVersion>15.0000</AppVersion>
  <Pages>2</Pages>
  <Words>377</Words>
  <Characters>2613</Characters>
  <CharactersWithSpaces>3001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2024-09-13T12:40:00Z</dcterms:created>
  <dc:creator>Наталья Справочное бюро</dc:creator>
  <dc:description/>
  <dc:language>ru-RU</dc:language>
  <cp:lastModifiedBy/>
  <dcterms:modified xsi:type="dcterms:W3CDTF">2025-01-30T11:00:16Z</dcterms:modified>
  <cp:revision>53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