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sz w:val="32"/>
          <w:szCs w:val="32"/>
        </w:rPr>
        <w:t>Доктор Тайсс леденцы Эвкалипт с ментолом +вит.С (с сахаром) БАД 75г упаковка №1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БАД к пище – дополнительного источника витамина С, содержащей эфирные масла (в том числе ментол). Для поддержания функций верхних дыхательных путей.</w:t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  <w:r>
        <w:rPr>
          <w:rFonts w:ascii="Times New Roman" w:hAnsi="Times New Roman"/>
          <w:sz w:val="28"/>
          <w:szCs w:val="28"/>
        </w:rPr>
        <w:t xml:space="preserve"> сахар, сироп глюкозы, вода (растворитель), аскорбиновая кислота, краситель сахарный колер, ментол, масло эвкалипта, натуральный ароматизатор мяты.</w:t>
        <w:br/>
        <w:t xml:space="preserve">Пищевая ценность в суточной дозе (3-5 шт. леденцов): энергетическая ценность 144 - 240 кДж/33 - 55 ккал; углеводы 8,4 - 14 г, из них сахар 6,3 - 10,5 г; витамин С 69 - 115 мг </w:t>
      </w:r>
    </w:p>
    <w:p>
      <w:pPr>
        <w:pStyle w:val="Style14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t xml:space="preserve"> взрослым и детям старше 14 лет рассасывать по 3 - 5 леденца в день. Не превышать рекомендуемую суточную дозу. Продолжительность приема: 1-2 недели. При необходимости прием можно повторить. </w:t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грудью, нарушения углеводного обмена. Перед применением рекомендуется проконсультироваться с врачом.</w:t>
        <w:br/>
        <w:br/>
        <w:t>Биологически активная добавка (БАД) к пище.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лекарственным средством.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/>
      </w:pPr>
      <w:r>
        <w:rPr/>
      </w:r>
    </w:p>
    <w:p>
      <w:pPr>
        <w:pStyle w:val="1"/>
        <w:spacing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14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1"/>
        <w:spacing w:before="0" w:after="140"/>
        <w:jc w:val="left"/>
        <w:rPr>
          <w:b w:val="false"/>
          <w:b w:val="false"/>
          <w:bCs w:val="false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Application>LibreOffice/7.0.6.2$Windows_X86_64 LibreOffice_project/144abb84a525d8e30c9dbbefa69cbbf2d8d4ae3b</Application>
  <AppVersion>15.0000</AppVersion>
  <Pages>1</Pages>
  <Words>151</Words>
  <Characters>979</Characters>
  <CharactersWithSpaces>1128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2026-05-07T14:23:34Z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