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1D743" w14:textId="2EADE34D" w:rsidR="00A81AF7" w:rsidRDefault="00A81AF7" w:rsidP="00A81AF7">
      <w:pPr>
        <w:spacing w:after="0"/>
        <w:ind w:firstLine="708"/>
        <w:jc w:val="both"/>
        <w:rPr>
          <w:noProof/>
        </w:rPr>
      </w:pPr>
    </w:p>
    <w:p w14:paraId="5FF5D3B1" w14:textId="46F3BB9F" w:rsidR="00CD4D49" w:rsidRPr="004F1055" w:rsidRDefault="00CF3747" w:rsidP="004F105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1055">
        <w:rPr>
          <w:rFonts w:ascii="Times New Roman" w:hAnsi="Times New Roman" w:cs="Times New Roman"/>
          <w:b/>
          <w:bCs/>
          <w:sz w:val="32"/>
          <w:szCs w:val="32"/>
        </w:rPr>
        <w:t xml:space="preserve">Катетер в/в (канюля) 2 </w:t>
      </w:r>
      <w:proofErr w:type="spellStart"/>
      <w:r w:rsidRPr="004F1055">
        <w:rPr>
          <w:rFonts w:ascii="Times New Roman" w:hAnsi="Times New Roman" w:cs="Times New Roman"/>
          <w:b/>
          <w:bCs/>
          <w:sz w:val="32"/>
          <w:szCs w:val="32"/>
        </w:rPr>
        <w:t>plus</w:t>
      </w:r>
      <w:proofErr w:type="spellEnd"/>
      <w:r w:rsidRPr="004F1055">
        <w:rPr>
          <w:rFonts w:ascii="Times New Roman" w:hAnsi="Times New Roman" w:cs="Times New Roman"/>
          <w:b/>
          <w:bCs/>
          <w:sz w:val="32"/>
          <w:szCs w:val="32"/>
        </w:rPr>
        <w:t xml:space="preserve"> с </w:t>
      </w:r>
      <w:proofErr w:type="spellStart"/>
      <w:proofErr w:type="gramStart"/>
      <w:r w:rsidRPr="004F1055">
        <w:rPr>
          <w:rFonts w:ascii="Times New Roman" w:hAnsi="Times New Roman" w:cs="Times New Roman"/>
          <w:b/>
          <w:bCs/>
          <w:sz w:val="32"/>
          <w:szCs w:val="32"/>
        </w:rPr>
        <w:t>инъекц.портом</w:t>
      </w:r>
      <w:proofErr w:type="spellEnd"/>
      <w:proofErr w:type="gramEnd"/>
    </w:p>
    <w:p w14:paraId="0376720D" w14:textId="77777777" w:rsidR="00CF3747" w:rsidRPr="00CF3747" w:rsidRDefault="00CF3747" w:rsidP="00CF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B6E044" w14:textId="706BCFBB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Канюли внутривенные с инъекционным портом</w:t>
      </w:r>
      <w:r w:rsidR="004F1055">
        <w:rPr>
          <w:rFonts w:ascii="Times New Roman" w:hAnsi="Times New Roman" w:cs="Times New Roman"/>
          <w:sz w:val="28"/>
          <w:szCs w:val="28"/>
        </w:rPr>
        <w:t xml:space="preserve">. </w:t>
      </w:r>
      <w:r w:rsidRPr="00CF3747">
        <w:rPr>
          <w:rFonts w:ascii="Times New Roman" w:hAnsi="Times New Roman" w:cs="Times New Roman"/>
          <w:sz w:val="28"/>
          <w:szCs w:val="28"/>
        </w:rPr>
        <w:t>Стерильно, однократного применения</w:t>
      </w:r>
    </w:p>
    <w:p w14:paraId="51C652CA" w14:textId="77777777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AB3AC" w14:textId="3255A702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Катетер внутривенный (периферический) - это медицинское приспособление предназначенное для длительного введения лекарственных средств в периферические вены (до 3-х суток) или выведения жидкости, растворов лекарственных веществ из кровеносной системы человека при помощи катетера, вставленного в кровеносный сосуд (периферические вены пациента) с целью уменьшения травмирования вены с помощью полой иглы (</w:t>
      </w:r>
      <w:proofErr w:type="spellStart"/>
      <w:r w:rsidRPr="00CF3747">
        <w:rPr>
          <w:rFonts w:ascii="Times New Roman" w:hAnsi="Times New Roman" w:cs="Times New Roman"/>
          <w:sz w:val="28"/>
          <w:szCs w:val="28"/>
        </w:rPr>
        <w:t>интродуктора</w:t>
      </w:r>
      <w:proofErr w:type="spellEnd"/>
      <w:r w:rsidRPr="00CF3747">
        <w:rPr>
          <w:rFonts w:ascii="Times New Roman" w:hAnsi="Times New Roman" w:cs="Times New Roman"/>
          <w:sz w:val="28"/>
          <w:szCs w:val="28"/>
        </w:rPr>
        <w:t>). Иглу удаляют сразу же после введения катетера в вену.</w:t>
      </w:r>
    </w:p>
    <w:p w14:paraId="21E48735" w14:textId="0BD2D583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Периферический венозный катетер семейства "TRO-VENOCATH" не содержит ПВХ, что позволяет использовать для введения особых групп лекарственных средств.</w:t>
      </w:r>
    </w:p>
    <w:p w14:paraId="14496EDC" w14:textId="1AF4B5D8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Специальные «крылышки» периферического венозного катетера позволяют надежно зафиксировать катетер на коже пациента, тем самым значительно снизить риск механического повреждения внутренней стенки сосуда и развития механического флебита.</w:t>
      </w:r>
    </w:p>
    <w:p w14:paraId="7A037FED" w14:textId="38F0E933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 xml:space="preserve">Катетер внутривенный периферический с дополнительным портом имеет инъекционный порт для </w:t>
      </w:r>
      <w:proofErr w:type="spellStart"/>
      <w:r w:rsidRPr="00CF3747">
        <w:rPr>
          <w:rFonts w:ascii="Times New Roman" w:hAnsi="Times New Roman" w:cs="Times New Roman"/>
          <w:sz w:val="28"/>
          <w:szCs w:val="28"/>
        </w:rPr>
        <w:t>болюсного</w:t>
      </w:r>
      <w:proofErr w:type="spellEnd"/>
      <w:r w:rsidRPr="00CF3747">
        <w:rPr>
          <w:rFonts w:ascii="Times New Roman" w:hAnsi="Times New Roman" w:cs="Times New Roman"/>
          <w:sz w:val="28"/>
          <w:szCs w:val="28"/>
        </w:rPr>
        <w:t xml:space="preserve"> введения медикаментов и промывания катетера, что обеспечивает возможность введения лекарств в процессе инфузии.</w:t>
      </w:r>
    </w:p>
    <w:p w14:paraId="5319B7FA" w14:textId="0D2F192E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 xml:space="preserve">Футляр венозного катетера надежно предохраняет иглу и катетер от повреждения. </w:t>
      </w:r>
      <w:proofErr w:type="spellStart"/>
      <w:r w:rsidRPr="00CF3747">
        <w:rPr>
          <w:rFonts w:ascii="Times New Roman" w:hAnsi="Times New Roman" w:cs="Times New Roman"/>
          <w:sz w:val="28"/>
          <w:szCs w:val="28"/>
        </w:rPr>
        <w:t>Рентгеноконтрастная</w:t>
      </w:r>
      <w:proofErr w:type="spellEnd"/>
      <w:r w:rsidRPr="00CF3747">
        <w:rPr>
          <w:rFonts w:ascii="Times New Roman" w:hAnsi="Times New Roman" w:cs="Times New Roman"/>
          <w:sz w:val="28"/>
          <w:szCs w:val="28"/>
        </w:rPr>
        <w:t xml:space="preserve"> трубка венозного катетера обеспечивает дополнительную степень безопасности, позволяя осуществлять контроль за дистальным кончиком катетера в случае его повреждения.</w:t>
      </w:r>
    </w:p>
    <w:p w14:paraId="1CB3C8D1" w14:textId="77777777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Назначение:</w:t>
      </w:r>
    </w:p>
    <w:p w14:paraId="7DFE81B7" w14:textId="62E5B068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Канюли внутривенные стерильные однократного использования предназначены для пункции и катетеризации периферических сосудов.</w:t>
      </w:r>
    </w:p>
    <w:p w14:paraId="27C35633" w14:textId="77777777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Свойства:</w:t>
      </w:r>
    </w:p>
    <w:p w14:paraId="0BCE9ACD" w14:textId="77777777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 xml:space="preserve">1. Канюли TRO-VENOCATH изготовлены из материала с высокой степенью </w:t>
      </w:r>
      <w:proofErr w:type="spellStart"/>
      <w:r w:rsidRPr="00CF3747">
        <w:rPr>
          <w:rFonts w:ascii="Times New Roman" w:hAnsi="Times New Roman" w:cs="Times New Roman"/>
          <w:sz w:val="28"/>
          <w:szCs w:val="28"/>
        </w:rPr>
        <w:t>биосовместимости</w:t>
      </w:r>
      <w:proofErr w:type="spellEnd"/>
      <w:r w:rsidRPr="00CF3747">
        <w:rPr>
          <w:rFonts w:ascii="Times New Roman" w:hAnsi="Times New Roman" w:cs="Times New Roman"/>
          <w:sz w:val="28"/>
          <w:szCs w:val="28"/>
        </w:rPr>
        <w:t xml:space="preserve"> – тефлон.</w:t>
      </w:r>
    </w:p>
    <w:p w14:paraId="10156DC3" w14:textId="77777777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 xml:space="preserve">2. Канюли TRO-VENOCATH являются стерильными, </w:t>
      </w:r>
      <w:proofErr w:type="spellStart"/>
      <w:r w:rsidRPr="00CF3747">
        <w:rPr>
          <w:rFonts w:ascii="Times New Roman" w:hAnsi="Times New Roman" w:cs="Times New Roman"/>
          <w:sz w:val="28"/>
          <w:szCs w:val="28"/>
        </w:rPr>
        <w:t>апирогенными</w:t>
      </w:r>
      <w:proofErr w:type="spellEnd"/>
      <w:r w:rsidRPr="00CF3747">
        <w:rPr>
          <w:rFonts w:ascii="Times New Roman" w:hAnsi="Times New Roman" w:cs="Times New Roman"/>
          <w:sz w:val="28"/>
          <w:szCs w:val="28"/>
        </w:rPr>
        <w:t xml:space="preserve"> и нетоксичными. Отсутствие влияния на биологические ткани.</w:t>
      </w:r>
    </w:p>
    <w:p w14:paraId="212089AA" w14:textId="77777777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 xml:space="preserve">3. FEP – катетер с </w:t>
      </w:r>
      <w:proofErr w:type="spellStart"/>
      <w:r w:rsidRPr="00CF3747">
        <w:rPr>
          <w:rFonts w:ascii="Times New Roman" w:hAnsi="Times New Roman" w:cs="Times New Roman"/>
          <w:sz w:val="28"/>
          <w:szCs w:val="28"/>
        </w:rPr>
        <w:t>рентгеноконтрастной</w:t>
      </w:r>
      <w:proofErr w:type="spellEnd"/>
      <w:r w:rsidRPr="00CF3747">
        <w:rPr>
          <w:rFonts w:ascii="Times New Roman" w:hAnsi="Times New Roman" w:cs="Times New Roman"/>
          <w:sz w:val="28"/>
          <w:szCs w:val="28"/>
        </w:rPr>
        <w:t xml:space="preserve"> полосой.</w:t>
      </w:r>
    </w:p>
    <w:p w14:paraId="784DFE98" w14:textId="77777777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4. Специальная трехгранная заточка иглы с обратным боковым срезом.</w:t>
      </w:r>
    </w:p>
    <w:p w14:paraId="632D0421" w14:textId="77777777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5. Два крылышка для надежной фиксации на коже.</w:t>
      </w:r>
    </w:p>
    <w:p w14:paraId="51044A04" w14:textId="77777777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6. Самозакрывающийся инъекционный клапан.</w:t>
      </w:r>
    </w:p>
    <w:p w14:paraId="2C98681A" w14:textId="77777777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7. Съемный винтовой колпачок.</w:t>
      </w:r>
    </w:p>
    <w:p w14:paraId="6DDE6F74" w14:textId="77777777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8. Цветовая кодировка, позволяющая быстро определить размер внутривенной канюли.</w:t>
      </w:r>
    </w:p>
    <w:p w14:paraId="446D20F6" w14:textId="20AD768D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9. Индивидуальная блистерная упаковка.</w:t>
      </w:r>
    </w:p>
    <w:p w14:paraId="0FDCCE2B" w14:textId="77777777" w:rsidR="00E625A8" w:rsidRDefault="00E625A8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398F5" w14:textId="676E5C6E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3747">
        <w:rPr>
          <w:rFonts w:ascii="Times New Roman" w:hAnsi="Times New Roman" w:cs="Times New Roman"/>
          <w:sz w:val="28"/>
          <w:szCs w:val="28"/>
        </w:rPr>
        <w:lastRenderedPageBreak/>
        <w:t>Цвет/размер:</w:t>
      </w:r>
    </w:p>
    <w:p w14:paraId="459FDD42" w14:textId="40589642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14G - оранжевый;</w:t>
      </w:r>
    </w:p>
    <w:p w14:paraId="651EFD9F" w14:textId="21892FC1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16G - серый;</w:t>
      </w:r>
    </w:p>
    <w:p w14:paraId="77E282D2" w14:textId="26F9C76C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17G - белый;</w:t>
      </w:r>
    </w:p>
    <w:p w14:paraId="6DE65223" w14:textId="57643893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18G - зеленый;</w:t>
      </w:r>
    </w:p>
    <w:p w14:paraId="26C423F2" w14:textId="3ADB3E0A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Pr="00CF3747">
        <w:rPr>
          <w:rFonts w:ascii="Times New Roman" w:hAnsi="Times New Roman" w:cs="Times New Roman"/>
          <w:sz w:val="28"/>
          <w:szCs w:val="28"/>
        </w:rPr>
        <w:t>G  -</w:t>
      </w:r>
      <w:proofErr w:type="gramEnd"/>
      <w:r w:rsidRPr="00CF3747">
        <w:rPr>
          <w:rFonts w:ascii="Times New Roman" w:hAnsi="Times New Roman" w:cs="Times New Roman"/>
          <w:sz w:val="28"/>
          <w:szCs w:val="28"/>
        </w:rPr>
        <w:t xml:space="preserve"> розовый;</w:t>
      </w:r>
    </w:p>
    <w:p w14:paraId="20BB6693" w14:textId="07E7C8EC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22G - синий;</w:t>
      </w:r>
    </w:p>
    <w:p w14:paraId="45A293DE" w14:textId="6213BD8E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24G - желтый;</w:t>
      </w:r>
    </w:p>
    <w:p w14:paraId="33ABFC25" w14:textId="2A5BD6CA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26G - фиолетовый.</w:t>
      </w:r>
    </w:p>
    <w:p w14:paraId="5CB64153" w14:textId="77777777" w:rsidR="00CF3747" w:rsidRPr="00CF3747" w:rsidRDefault="00CF3747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7">
        <w:rPr>
          <w:rFonts w:ascii="Times New Roman" w:hAnsi="Times New Roman" w:cs="Times New Roman"/>
          <w:sz w:val="28"/>
          <w:szCs w:val="28"/>
        </w:rPr>
        <w:t>Стерилизация: ЕО (оксидом этилена)</w:t>
      </w:r>
    </w:p>
    <w:sectPr w:rsidR="00CF3747" w:rsidRPr="00CF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65"/>
    <w:rsid w:val="00002CD2"/>
    <w:rsid w:val="00075051"/>
    <w:rsid w:val="00081212"/>
    <w:rsid w:val="00174AB2"/>
    <w:rsid w:val="00183CF1"/>
    <w:rsid w:val="00212B62"/>
    <w:rsid w:val="0022029E"/>
    <w:rsid w:val="002814C7"/>
    <w:rsid w:val="00351AD7"/>
    <w:rsid w:val="00360865"/>
    <w:rsid w:val="00404A62"/>
    <w:rsid w:val="004648E7"/>
    <w:rsid w:val="004D4151"/>
    <w:rsid w:val="004F1055"/>
    <w:rsid w:val="00646092"/>
    <w:rsid w:val="00807ED7"/>
    <w:rsid w:val="00932A76"/>
    <w:rsid w:val="00A81AF7"/>
    <w:rsid w:val="00B2047D"/>
    <w:rsid w:val="00BF0FC2"/>
    <w:rsid w:val="00CB0783"/>
    <w:rsid w:val="00CD4D49"/>
    <w:rsid w:val="00CF3747"/>
    <w:rsid w:val="00D0141D"/>
    <w:rsid w:val="00E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941A"/>
  <w15:chartTrackingRefBased/>
  <w15:docId w15:val="{BEA3C6A9-A37E-4415-A979-3CC82E26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F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4</cp:revision>
  <dcterms:created xsi:type="dcterms:W3CDTF">2021-12-29T13:29:00Z</dcterms:created>
  <dcterms:modified xsi:type="dcterms:W3CDTF">2021-12-31T10:50:00Z</dcterms:modified>
</cp:coreProperties>
</file>