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CD66" w14:textId="77777777" w:rsidR="00F31B7A" w:rsidRPr="00086C85" w:rsidRDefault="00B743A4" w:rsidP="00B73AF7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086C85">
        <w:rPr>
          <w:rFonts w:ascii="Times New Roman" w:hAnsi="Times New Roman" w:cs="Times New Roman"/>
          <w:b/>
          <w:bCs/>
          <w:sz w:val="32"/>
          <w:szCs w:val="28"/>
        </w:rPr>
        <w:t>Гоу</w:t>
      </w:r>
      <w:proofErr w:type="spellEnd"/>
      <w:r w:rsidRPr="00086C85">
        <w:rPr>
          <w:rFonts w:ascii="Times New Roman" w:hAnsi="Times New Roman" w:cs="Times New Roman"/>
          <w:b/>
          <w:bCs/>
          <w:sz w:val="32"/>
          <w:szCs w:val="28"/>
        </w:rPr>
        <w:t xml:space="preserve">-он (GO-ON) протез синовиальной жидкости: р-р для внутрисуставного введения (1% р-р </w:t>
      </w:r>
      <w:proofErr w:type="spellStart"/>
      <w:r w:rsidRPr="00086C85">
        <w:rPr>
          <w:rFonts w:ascii="Times New Roman" w:hAnsi="Times New Roman" w:cs="Times New Roman"/>
          <w:b/>
          <w:bCs/>
          <w:sz w:val="32"/>
          <w:szCs w:val="28"/>
        </w:rPr>
        <w:t>гиалуроната</w:t>
      </w:r>
      <w:proofErr w:type="spellEnd"/>
      <w:r w:rsidRPr="00086C85">
        <w:rPr>
          <w:rFonts w:ascii="Times New Roman" w:hAnsi="Times New Roman" w:cs="Times New Roman"/>
          <w:b/>
          <w:bCs/>
          <w:sz w:val="32"/>
          <w:szCs w:val="28"/>
        </w:rPr>
        <w:t xml:space="preserve"> натрия) шприц стерильный 2,5мл упаковка №1</w:t>
      </w:r>
    </w:p>
    <w:p w14:paraId="6A7A9838" w14:textId="77777777" w:rsidR="00B73AF7" w:rsidRPr="00B73AF7" w:rsidRDefault="00B73AF7" w:rsidP="00086C8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14:paraId="7C2E9832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Вязкоэластичный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 раствор для инъекций в коленные, плечевые и другие синовиальные суставы. Препарат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Go-on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>® (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Гоу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-он) выпускается ирландской компанией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Rottapharm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Ltd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. Он представляет собой стерильный раствор гиалуроновой кислоты (2,5 мл 1% раствора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Na-гиалуроната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291C009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Способ введения: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внутрисуставно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80D523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Форма выпуска: одноразовый шприц объемом 2,5 мл. </w:t>
      </w:r>
    </w:p>
    <w:p w14:paraId="057D7E94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Гиалуроновая кислота путем ферментации экстрагируется из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Streptococcus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Equi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>, после чего проходит необходимые стадии очистки, что обеспечивает безопасность использования — отсутствие аллергических реакций, риска занесения вирусных инфекций. Средняя молекулярная масса препарата составляет 1,4 млн Да. Эти значения считаются оптимальными для эндогенного синтеза гиалуроновой кислоты (выработки собственной гиалуроновой кислоты непосредственно в пораженном остеоартрозом суставе). Стандартный курс лечения состоит из 3</w:t>
      </w:r>
      <w:bookmarkStart w:id="0" w:name="_GoBack"/>
      <w:bookmarkEnd w:id="0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-5 инъекций. </w:t>
      </w:r>
    </w:p>
    <w:p w14:paraId="3A6DA598" w14:textId="77777777" w:rsidR="00B73AF7" w:rsidRPr="00B73AF7" w:rsidRDefault="00B73AF7" w:rsidP="00086C8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14:paraId="1B768A0B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качественных характеристик вещества, находящегося в опорно-двигательном механизме колена, плеча. Для снятия болезненных признаков остеоартрита.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Химпрепарат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 можно применять в офтальмологии – для увеличения передней камеры или разделение тканевых структур органа (когда проводится хирургия на конкретных сегментах глазного механизма), диагностирования сетчатки при хирургии или после нее, при лечении лазером. </w:t>
      </w:r>
    </w:p>
    <w:p w14:paraId="2D9A88F6" w14:textId="77777777" w:rsidR="00B73AF7" w:rsidRPr="00B73AF7" w:rsidRDefault="00B73AF7" w:rsidP="00086C8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14:paraId="1C850B5A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Вещество вводят в пораженный орган 5 раз. При этом требуется соблюдать 7-дневный интервал. Разрешается проводить несколько процедур одновременно, но в разные пораженные участки тела. Введение требует соблюдения определенных правил. Терапия осуществляется по назначению доктора. Раствор GO-ON может вводить только высококвалифицированный медперсонал - ортопед, ревматолог, хирург. При этом должны соблюдаться асептические правила. </w:t>
      </w:r>
    </w:p>
    <w:p w14:paraId="37114833" w14:textId="77777777" w:rsidR="00B73AF7" w:rsidRDefault="00B73AF7" w:rsidP="00086C8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0B9176" w14:textId="77777777" w:rsidR="00B73AF7" w:rsidRPr="00B73AF7" w:rsidRDefault="00B73AF7" w:rsidP="00086C8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14:paraId="2FD839E7" w14:textId="77777777" w:rsidR="00B73AF7" w:rsidRPr="00B73AF7" w:rsidRDefault="00B73AF7" w:rsidP="0008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B73AF7">
        <w:rPr>
          <w:rFonts w:ascii="Times New Roman" w:eastAsia="Times New Roman" w:hAnsi="Times New Roman" w:cs="Times New Roman"/>
          <w:sz w:val="28"/>
          <w:szCs w:val="28"/>
        </w:rPr>
        <w:t>гиперсенситивности</w:t>
      </w:r>
      <w:proofErr w:type="spellEnd"/>
      <w:r w:rsidRPr="00B73AF7">
        <w:rPr>
          <w:rFonts w:ascii="Times New Roman" w:eastAsia="Times New Roman" w:hAnsi="Times New Roman" w:cs="Times New Roman"/>
          <w:sz w:val="28"/>
          <w:szCs w:val="28"/>
        </w:rPr>
        <w:t xml:space="preserve"> к некоторым составным медикамента, наличии воспалительных протеканий в опорно-двигательном аппарате, при патологии Бехтерева, артрите ревматоидном. </w:t>
      </w:r>
    </w:p>
    <w:p w14:paraId="15322B30" w14:textId="77777777" w:rsidR="00B73AF7" w:rsidRDefault="00B73AF7"/>
    <w:p w14:paraId="40AF82DD" w14:textId="77777777" w:rsidR="00B743A4" w:rsidRDefault="00B743A4"/>
    <w:sectPr w:rsidR="00B7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A4"/>
    <w:rsid w:val="00086C85"/>
    <w:rsid w:val="00B73AF7"/>
    <w:rsid w:val="00B743A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1722"/>
  <w15:chartTrackingRefBased/>
  <w15:docId w15:val="{D1085F3C-F585-4846-BFC3-8DF7644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73A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3A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7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2021-12-20T13:16:00Z</dcterms:created>
  <dcterms:modified xsi:type="dcterms:W3CDTF">2021-12-30T13:20:00Z</dcterms:modified>
</cp:coreProperties>
</file>